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934D">
      <w:pPr>
        <w:pStyle w:val="120"/>
        <w:framePr w:wrap="around"/>
        <w:rPr>
          <w:rFonts w:ascii="Times New Roman"/>
        </w:rPr>
      </w:pPr>
      <w:r>
        <w:rPr>
          <w:rFonts w:ascii="Times New Roman"/>
        </w:rPr>
        <w:t>ICS</w:t>
      </w:r>
      <w:r>
        <w:rPr>
          <w:rFonts w:ascii="Times New Roman" w:eastAsia="MS Mincho"/>
        </w:rPr>
        <w:t> </w:t>
      </w:r>
      <w:r>
        <w:rPr>
          <w:rFonts w:ascii="Times New Roman"/>
        </w:rPr>
        <w:fldChar w:fldCharType="begin">
          <w:ffData>
            <w:name w:val="ICS"/>
            <w:enabled/>
            <w:calcOnExit w:val="0"/>
            <w:helpText w:type="text" w:val="请输入正确的ICS号："/>
            <w:textInput/>
          </w:ffData>
        </w:fldChar>
      </w:r>
      <w:bookmarkStart w:id="0" w:name="ICS"/>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p w14:paraId="2FF9B23D">
      <w:pPr>
        <w:pStyle w:val="120"/>
        <w:framePr w:wrap="around"/>
        <w:rPr>
          <w:rFonts w:ascii="Times New Roman"/>
        </w:rPr>
      </w:pPr>
      <w:r>
        <w:rPr>
          <w:rFonts w:ascii="Times New Roman"/>
        </w:rPr>
        <w:fldChar w:fldCharType="begin">
          <w:ffData>
            <w:name w:val="WXFLH"/>
            <w:enabled/>
            <w:calcOnExit w:val="0"/>
            <w:helpText w:type="text" w:val="请输入中国标准文献分类号："/>
            <w:textInput>
              <w:default w:val="CCS X "/>
            </w:textInput>
          </w:ffData>
        </w:fldChar>
      </w:r>
      <w:bookmarkStart w:id="1" w:name="WXFLH"/>
      <w:r>
        <w:rPr>
          <w:rFonts w:ascii="Times New Roman"/>
        </w:rPr>
        <w:instrText xml:space="preserve"> FORMTEXT </w:instrText>
      </w:r>
      <w:r>
        <w:rPr>
          <w:rFonts w:ascii="Times New Roman"/>
        </w:rPr>
        <w:fldChar w:fldCharType="separate"/>
      </w:r>
      <w:r>
        <w:rPr>
          <w:rFonts w:ascii="Times New Roman"/>
        </w:rPr>
        <w:t xml:space="preserve">CCS X </w:t>
      </w:r>
      <w:r>
        <w:rPr>
          <w:rFonts w:ascii="Times New Roman"/>
        </w:rPr>
        <w:fldChar w:fldCharType="end"/>
      </w:r>
      <w:bookmarkEnd w:id="1"/>
    </w:p>
    <w:p w14:paraId="193789A8">
      <w:pPr>
        <w:pStyle w:val="120"/>
        <w:framePr w:wrap="around"/>
        <w:rPr>
          <w:rFonts w:ascii="Times New Roman"/>
          <w:sz w:val="24"/>
        </w:rPr>
      </w:pP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1C29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14:paraId="02A8AE0E">
            <w:pPr>
              <w:pStyle w:val="120"/>
              <w:framePr w:wrap="around"/>
              <w:rPr>
                <w:rFonts w:ascii="Times New Roman"/>
                <w:sz w:val="24"/>
              </w:rPr>
            </w:pPr>
          </w:p>
        </w:tc>
      </w:tr>
    </w:tbl>
    <w:p w14:paraId="1EE7D543">
      <w:pPr>
        <w:pStyle w:val="107"/>
        <w:framePr w:wrap="around"/>
        <w:rPr>
          <w:rFonts w:ascii="Times New Roman" w:hAnsi="Times New Roman"/>
          <w:szCs w:val="48"/>
        </w:rPr>
      </w:pPr>
      <w:r>
        <w:rPr>
          <w:rFonts w:ascii="Times New Roman" w:hAnsi="Times New Roman"/>
          <w:szCs w:val="48"/>
        </w:rPr>
        <w:t>团体标准</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95F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EED1C32">
            <w:pPr>
              <w:pStyle w:val="66"/>
              <w:framePr w:wrap="around"/>
              <w:ind w:right="210"/>
              <w:rPr>
                <w:rFonts w:ascii="Times New Roman"/>
              </w:rPr>
            </w:pPr>
          </w:p>
        </w:tc>
      </w:tr>
    </w:tbl>
    <w:p w14:paraId="4D1091CC">
      <w:pPr>
        <w:pStyle w:val="37"/>
        <w:framePr w:wrap="around"/>
        <w:rPr>
          <w:rFonts w:ascii="Times New Roman"/>
        </w:rPr>
      </w:pPr>
      <w:r>
        <w:rPr>
          <w:rFonts w:hint="eastAsia" w:ascii="Times New Roman"/>
        </w:rPr>
        <w:t xml:space="preserve">T/SCSSX </w:t>
      </w:r>
      <w:r>
        <w:rPr>
          <w:rFonts w:hint="eastAsia" w:ascii="Times New Roman"/>
          <w:color w:val="FF0000"/>
        </w:rPr>
        <w:t xml:space="preserve">    </w:t>
      </w:r>
      <w:r>
        <w:rPr>
          <w:rFonts w:ascii="Times New Roman"/>
        </w:rPr>
        <w:t>—</w:t>
      </w:r>
      <w:r>
        <w:rPr>
          <w:rFonts w:hint="eastAsia" w:ascii="Times New Roman"/>
        </w:rPr>
        <w:t>2025</w:t>
      </w:r>
    </w:p>
    <w:p w14:paraId="0FB62697">
      <w:pPr>
        <w:pStyle w:val="69"/>
        <w:framePr w:w="9762" w:wrap="around"/>
        <w:spacing w:line="240" w:lineRule="auto"/>
        <w:rPr>
          <w:sz w:val="48"/>
          <w:szCs w:val="20"/>
        </w:rPr>
      </w:pPr>
    </w:p>
    <w:p w14:paraId="59F31C69">
      <w:pPr>
        <w:pStyle w:val="69"/>
        <w:framePr w:w="9762" w:wrap="around"/>
        <w:spacing w:line="240" w:lineRule="auto"/>
        <w:rPr>
          <w:sz w:val="52"/>
          <w:szCs w:val="52"/>
        </w:rPr>
      </w:pPr>
      <w:r>
        <w:rPr>
          <w:rFonts w:hint="eastAsia"/>
          <w:sz w:val="52"/>
          <w:szCs w:val="52"/>
        </w:rPr>
        <w:t>冕宁火腿生产卫生规范</w:t>
      </w:r>
    </w:p>
    <w:p w14:paraId="5E95D2C4">
      <w:pPr>
        <w:pStyle w:val="69"/>
        <w:framePr w:w="9762" w:wrap="around"/>
        <w:spacing w:line="240" w:lineRule="auto"/>
      </w:pPr>
      <w:r>
        <w:rPr>
          <w:rFonts w:hint="eastAsia"/>
        </w:rPr>
        <w:t>Hygienic standard for production of Mianning ham</w:t>
      </w:r>
    </w:p>
    <w:p w14:paraId="34C39540">
      <w:pPr>
        <w:pStyle w:val="127"/>
        <w:framePr w:wrap="around" w:hAnchor="page" w:x="1567"/>
        <w:rPr>
          <w:szCs w:val="28"/>
        </w:rPr>
      </w:pPr>
      <w:r>
        <w:rPr>
          <w:rFonts w:hint="eastAsia"/>
          <w:szCs w:val="28"/>
        </w:rPr>
        <w:t>xxxx</w:t>
      </w:r>
      <w:r>
        <w:rPr>
          <w:szCs w:val="28"/>
        </w:rPr>
        <w:t xml:space="preserve"> - </w:t>
      </w:r>
      <w:r>
        <w:rPr>
          <w:rFonts w:hint="eastAsia"/>
          <w:szCs w:val="28"/>
        </w:rPr>
        <w:t>xx</w:t>
      </w:r>
      <w:r>
        <w:rPr>
          <w:szCs w:val="28"/>
        </w:rPr>
        <w:t xml:space="preserve"> -</w:t>
      </w:r>
      <w:r>
        <w:rPr>
          <w:rFonts w:hint="eastAsia"/>
          <w:szCs w:val="28"/>
        </w:rPr>
        <w:t>xx</w:t>
      </w:r>
      <w:r>
        <w:rPr>
          <w:szCs w:val="28"/>
        </w:rPr>
        <w:t>发布</w:t>
      </w:r>
      <w:r>
        <w:rPr>
          <w:szCs w:val="28"/>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WHazzWAAAACwEAAA8AAAAAAAAAAQAgAAAAIgAAAGRy&#10;cy9kb3ducmV2LnhtbFBLAQIUABQAAAAIAIdO4kBMsg3+zgEAAK4DAAAOAAAAAAAAAAEAIAAAACUB&#10;AABkcnMvZTJvRG9jLnhtbFBLBQYAAAAABgAGAFkBAABlBQAAAAA=&#10;">
                <v:fill on="f" focussize="0,0"/>
                <v:stroke color="#000000" joinstyle="round"/>
                <v:imagedata o:title=""/>
                <o:lock v:ext="edit" aspectratio="f"/>
                <w10:anchorlock/>
              </v:line>
            </w:pict>
          </mc:Fallback>
        </mc:AlternateContent>
      </w:r>
    </w:p>
    <w:p w14:paraId="4E418F3E">
      <w:pPr>
        <w:pStyle w:val="128"/>
        <w:framePr w:wrap="around" w:hAnchor="page" w:x="7201" w:y="14101"/>
        <w:rPr>
          <w:szCs w:val="28"/>
        </w:rPr>
      </w:pPr>
      <w:r>
        <w:rPr>
          <w:rFonts w:hint="eastAsia"/>
          <w:szCs w:val="28"/>
        </w:rPr>
        <w:t>xxxx</w:t>
      </w:r>
      <w:r>
        <w:rPr>
          <w:szCs w:val="28"/>
        </w:rPr>
        <w:t xml:space="preserve"> - </w:t>
      </w:r>
      <w:r>
        <w:rPr>
          <w:rFonts w:hint="eastAsia"/>
          <w:szCs w:val="28"/>
        </w:rPr>
        <w:t>xx</w:t>
      </w:r>
      <w:r>
        <w:rPr>
          <w:szCs w:val="28"/>
        </w:rPr>
        <w:t xml:space="preserve"> -</w:t>
      </w:r>
      <w:r>
        <w:rPr>
          <w:rFonts w:hint="eastAsia"/>
          <w:szCs w:val="28"/>
        </w:rPr>
        <w:t>xx</w:t>
      </w:r>
      <w:r>
        <w:rPr>
          <w:szCs w:val="28"/>
        </w:rPr>
        <w:t>实施</w:t>
      </w:r>
    </w:p>
    <w:p w14:paraId="442112F1">
      <w:pPr>
        <w:pStyle w:val="108"/>
        <w:framePr w:wrap="around"/>
        <w:rPr>
          <w:rFonts w:ascii="Times New Roman"/>
        </w:rPr>
      </w:pPr>
      <w:bookmarkStart w:id="2" w:name="fm"/>
      <w:r>
        <w:rPr>
          <w:rFonts w:ascii="Times New Roman"/>
          <w:w w:val="100"/>
        </w:rPr>
        <mc:AlternateContent>
          <mc:Choice Requires="wps">
            <w:drawing>
              <wp:anchor distT="0" distB="0" distL="114300" distR="114300" simplePos="0" relativeHeight="251662336" behindDoc="1" locked="0" layoutInCell="1" allowOverlap="1">
                <wp:simplePos x="0" y="0"/>
                <wp:positionH relativeFrom="column">
                  <wp:posOffset>-530860</wp:posOffset>
                </wp:positionH>
                <wp:positionV relativeFrom="paragraph">
                  <wp:posOffset>-8964930</wp:posOffset>
                </wp:positionV>
                <wp:extent cx="866775" cy="198120"/>
                <wp:effectExtent l="0" t="0" r="9525" b="508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41.8pt;margin-top:-705.9pt;height:15.6pt;width:68.25pt;z-index:-251654144;mso-width-relative:page;mso-height-relative:page;" fillcolor="#FFFFFF" filled="t" stroked="f" coordsize="21600,21600" o:gfxdata="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5MDdHbAAAADgEA&#10;AA8AAAAAAAAAAQAgAAAAIgAAAGRycy9kb3ducmV2LnhtbFBLAQIUABQAAAAIAIdO4kBPU9qbpQEA&#10;AFkDAAAOAAAAAAAAAAEAIAAAACoBAABkcnMvZTJvRG9jLnhtbFBLBQYAAAAABgAGAFkBAABBBQAA&#10;AAA=&#10;">
                <v:fill on="t" focussize="0,0"/>
                <v:stroke on="f"/>
                <v:imagedata o:title=""/>
                <o:lock v:ext="edit" aspectratio="f"/>
              </v:rect>
            </w:pict>
          </mc:Fallback>
        </mc:AlternateContent>
      </w:r>
      <w:r>
        <w:rPr>
          <w:rFonts w:ascii="Times New Roman"/>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8mKEdoAAAAPAQAADwAAAAAA&#10;AAABACAAAAAiAAAAZHJzL2Rvd25yZXYueG1sUEsBAhQAFAAAAAgAh07iQHYBBhafAQAAWQMAAA4A&#10;AAAAAAAAAQAgAAAAKQEAAGRycy9lMm9Eb2MueG1sUEsFBgAAAAAGAAYAWQEAADoFAAAAAA==&#10;">
                <v:fill on="t" focussize="0,0"/>
                <v:stroke on="f"/>
                <v:imagedata o:title=""/>
                <o:lock v:ext="edit" aspectratio="f"/>
              </v:rect>
            </w:pict>
          </mc:Fallback>
        </mc:AlternateContent>
      </w:r>
      <w:r>
        <w:rPr>
          <w:rFonts w:ascii="Times New Roman"/>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1" name="直线 1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7JZGg&#10;2AAAAA8BAAAPAAAAAAAAAAEAIAAAACIAAABkcnMvZG93bnJldi54bWxQSwECFAAUAAAACACHTuJA&#10;URGq/OgBAADcAwAADgAAAAAAAAABACAAAAAnAQAAZHJzL2Uyb0RvYy54bWxQSwUGAAAAAAYABgBZ&#10;AQAAgQUAAAAA&#10;">
                <v:fill on="f" focussize="0,0"/>
                <v:stroke color="#000000" joinstyle="round"/>
                <v:imagedata o:title=""/>
                <o:lock v:ext="edit" aspectratio="f"/>
              </v:line>
            </w:pict>
          </mc:Fallback>
        </mc:AlternateContent>
      </w:r>
      <w:bookmarkEnd w:id="2"/>
      <w:r>
        <w:rPr>
          <w:rFonts w:hint="eastAsia" w:ascii="Times New Roman"/>
        </w:rPr>
        <w:t>四川省食品饮料产业协</w:t>
      </w:r>
      <w:r>
        <w:rPr>
          <w:rFonts w:ascii="Times New Roman"/>
        </w:rPr>
        <w:t>会   </w:t>
      </w:r>
      <w:r>
        <w:rPr>
          <w:rStyle w:val="63"/>
          <w:rFonts w:ascii="Times New Roman"/>
        </w:rPr>
        <w:t>发布</w:t>
      </w:r>
    </w:p>
    <w:p w14:paraId="43E08416">
      <w:pPr>
        <w:pStyle w:val="17"/>
        <w:ind w:firstLine="480"/>
        <w:rPr>
          <w:rFonts w:ascii="Times New Roman"/>
          <w:sz w:val="24"/>
        </w:rPr>
        <w:sectPr>
          <w:footerReference r:id="rId3" w:type="default"/>
          <w:pgSz w:w="11906" w:h="16838"/>
          <w:pgMar w:top="567" w:right="850" w:bottom="1134" w:left="1418" w:header="0" w:footer="0" w:gutter="0"/>
          <w:pgNumType w:start="1"/>
          <w:cols w:space="425" w:num="1"/>
          <w:formProt w:val="0"/>
          <w:docGrid w:type="lines" w:linePitch="312" w:charSpace="0"/>
        </w:sectPr>
      </w:pPr>
    </w:p>
    <w:p w14:paraId="17382659">
      <w:pPr>
        <w:pStyle w:val="137"/>
        <w:spacing w:after="468"/>
      </w:pPr>
      <w:r>
        <w:rPr>
          <w:rFonts w:hint="eastAsia"/>
          <w:spacing w:val="320"/>
        </w:rPr>
        <w:t>目</w:t>
      </w:r>
      <w:r>
        <w:rPr>
          <w:rFonts w:hint="eastAsia"/>
        </w:rPr>
        <w:t>次</w:t>
      </w:r>
    </w:p>
    <w:p w14:paraId="6023DC74">
      <w:pPr>
        <w:pStyle w:val="14"/>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"_Toc113369325" </w:instrText>
      </w:r>
      <w:r>
        <w:fldChar w:fldCharType="separate"/>
      </w:r>
      <w:r>
        <w:rPr>
          <w:rStyle w:val="29"/>
          <w:rFonts w:hint="eastAsia" w:ascii="Times New Roman"/>
        </w:rPr>
        <w:t>前</w:t>
      </w:r>
      <w:r>
        <w:rPr>
          <w:rStyle w:val="29"/>
          <w:rFonts w:ascii="Times New Roman"/>
        </w:rPr>
        <w:t>  </w:t>
      </w:r>
      <w:r>
        <w:rPr>
          <w:rStyle w:val="29"/>
          <w:rFonts w:hint="eastAsia" w:ascii="Times New Roman"/>
        </w:rPr>
        <w:t>言</w:t>
      </w:r>
      <w:r>
        <w:tab/>
      </w:r>
      <w:r>
        <w:fldChar w:fldCharType="begin"/>
      </w:r>
      <w:r>
        <w:instrText xml:space="preserve"> PAGEREF _Toc113369325 \h </w:instrText>
      </w:r>
      <w:r>
        <w:fldChar w:fldCharType="separate"/>
      </w:r>
      <w:r>
        <w:t>II</w:t>
      </w:r>
      <w:r>
        <w:fldChar w:fldCharType="end"/>
      </w:r>
      <w:r>
        <w:fldChar w:fldCharType="end"/>
      </w:r>
    </w:p>
    <w:p w14:paraId="5ACD29DA">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"_Toc113369326" </w:instrText>
      </w:r>
      <w:r>
        <w:fldChar w:fldCharType="separate"/>
      </w:r>
      <w:r>
        <w:rPr>
          <w:rStyle w:val="29"/>
        </w:rPr>
        <w:t>1</w:t>
      </w:r>
      <w:r>
        <w:rPr>
          <w:rStyle w:val="29"/>
          <w:rFonts w:hint="eastAsia"/>
        </w:rPr>
        <w:t xml:space="preserve"> 范围</w:t>
      </w:r>
      <w:r>
        <w:tab/>
      </w:r>
      <w:r>
        <w:fldChar w:fldCharType="begin"/>
      </w:r>
      <w:r>
        <w:instrText xml:space="preserve"> PAGEREF _Toc113369326 \h </w:instrText>
      </w:r>
      <w:r>
        <w:fldChar w:fldCharType="separate"/>
      </w:r>
      <w:r>
        <w:t>1</w:t>
      </w:r>
      <w:r>
        <w:fldChar w:fldCharType="end"/>
      </w:r>
      <w:r>
        <w:fldChar w:fldCharType="end"/>
      </w:r>
    </w:p>
    <w:p w14:paraId="0BCB76A0">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"_Toc113369327" </w:instrText>
      </w:r>
      <w:r>
        <w:fldChar w:fldCharType="separate"/>
      </w:r>
      <w:r>
        <w:rPr>
          <w:rStyle w:val="29"/>
        </w:rPr>
        <w:t>2</w:t>
      </w:r>
      <w:r>
        <w:rPr>
          <w:rStyle w:val="29"/>
          <w:rFonts w:hint="eastAsia"/>
        </w:rPr>
        <w:t xml:space="preserve"> 规范性引用文件</w:t>
      </w:r>
      <w:r>
        <w:tab/>
      </w:r>
      <w:r>
        <w:fldChar w:fldCharType="begin"/>
      </w:r>
      <w:r>
        <w:instrText xml:space="preserve"> PAGEREF _Toc113369327 \h </w:instrText>
      </w:r>
      <w:r>
        <w:fldChar w:fldCharType="separate"/>
      </w:r>
      <w:r>
        <w:t>1</w:t>
      </w:r>
      <w:r>
        <w:fldChar w:fldCharType="end"/>
      </w:r>
      <w:r>
        <w:fldChar w:fldCharType="end"/>
      </w:r>
    </w:p>
    <w:p w14:paraId="17929738">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"_Toc113369328" </w:instrText>
      </w:r>
      <w:r>
        <w:fldChar w:fldCharType="separate"/>
      </w:r>
      <w:r>
        <w:rPr>
          <w:rStyle w:val="29"/>
        </w:rPr>
        <w:t>3</w:t>
      </w:r>
      <w:r>
        <w:rPr>
          <w:rStyle w:val="29"/>
          <w:rFonts w:hint="eastAsia"/>
        </w:rPr>
        <w:t xml:space="preserve"> 术语和定义</w:t>
      </w:r>
      <w:r>
        <w:tab/>
      </w:r>
      <w:r>
        <w:fldChar w:fldCharType="begin"/>
      </w:r>
      <w:r>
        <w:instrText xml:space="preserve"> PAGEREF _Toc113369328 \h </w:instrText>
      </w:r>
      <w:r>
        <w:fldChar w:fldCharType="separate"/>
      </w:r>
      <w:r>
        <w:t>1</w:t>
      </w:r>
      <w:r>
        <w:fldChar w:fldCharType="end"/>
      </w:r>
      <w:r>
        <w:fldChar w:fldCharType="end"/>
      </w:r>
    </w:p>
    <w:p w14:paraId="6DBFF092">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"_Toc113369329" </w:instrText>
      </w:r>
      <w:r>
        <w:fldChar w:fldCharType="separate"/>
      </w:r>
      <w:r>
        <w:rPr>
          <w:rStyle w:val="29"/>
        </w:rPr>
        <w:t>4</w:t>
      </w:r>
      <w:r>
        <w:rPr>
          <w:rStyle w:val="29"/>
          <w:rFonts w:hint="eastAsia"/>
        </w:rPr>
        <w:t xml:space="preserve"> 一般要求</w:t>
      </w:r>
      <w:r>
        <w:tab/>
      </w:r>
      <w:r>
        <w:fldChar w:fldCharType="begin"/>
      </w:r>
      <w:r>
        <w:instrText xml:space="preserve"> PAGEREF _Toc113369329 \h </w:instrText>
      </w:r>
      <w:r>
        <w:fldChar w:fldCharType="separate"/>
      </w:r>
      <w:r>
        <w:t>1</w:t>
      </w:r>
      <w:r>
        <w:fldChar w:fldCharType="end"/>
      </w:r>
      <w:r>
        <w:fldChar w:fldCharType="end"/>
      </w:r>
    </w:p>
    <w:p w14:paraId="777CF7D6">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"_Toc113369330" </w:instrText>
      </w:r>
      <w:r>
        <w:fldChar w:fldCharType="separate"/>
      </w:r>
      <w:r>
        <w:rPr>
          <w:rStyle w:val="29"/>
        </w:rPr>
        <w:t>5</w:t>
      </w:r>
      <w:r>
        <w:rPr>
          <w:rStyle w:val="29"/>
          <w:rFonts w:hint="eastAsia"/>
        </w:rPr>
        <w:t xml:space="preserve"> 接收要求</w:t>
      </w:r>
      <w:r>
        <w:tab/>
      </w:r>
      <w:r>
        <w:fldChar w:fldCharType="begin"/>
      </w:r>
      <w:r>
        <w:instrText xml:space="preserve"> PAGEREF _Toc113369330 \h </w:instrText>
      </w:r>
      <w:r>
        <w:fldChar w:fldCharType="separate"/>
      </w:r>
      <w:r>
        <w:t>2</w:t>
      </w:r>
      <w:r>
        <w:fldChar w:fldCharType="end"/>
      </w:r>
      <w:r>
        <w:fldChar w:fldCharType="end"/>
      </w:r>
    </w:p>
    <w:p w14:paraId="103CD50A">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"_Toc113369331" </w:instrText>
      </w:r>
      <w:r>
        <w:fldChar w:fldCharType="separate"/>
      </w:r>
      <w:r>
        <w:rPr>
          <w:rStyle w:val="29"/>
        </w:rPr>
        <w:t>6</w:t>
      </w:r>
      <w:r>
        <w:rPr>
          <w:rStyle w:val="29"/>
          <w:rFonts w:hint="eastAsia"/>
        </w:rPr>
        <w:t xml:space="preserve"> 保存要求</w:t>
      </w:r>
      <w:r>
        <w:tab/>
      </w:r>
      <w:r>
        <w:fldChar w:fldCharType="begin"/>
      </w:r>
      <w:r>
        <w:instrText xml:space="preserve"> PAGEREF _Toc113369331 \h </w:instrText>
      </w:r>
      <w:r>
        <w:fldChar w:fldCharType="separate"/>
      </w:r>
      <w:r>
        <w:t>3</w:t>
      </w:r>
      <w:r>
        <w:fldChar w:fldCharType="end"/>
      </w:r>
      <w:r>
        <w:fldChar w:fldCharType="end"/>
      </w:r>
    </w:p>
    <w:p w14:paraId="08C5A3B3">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"_Toc113369332" </w:instrText>
      </w:r>
      <w:r>
        <w:fldChar w:fldCharType="separate"/>
      </w:r>
      <w:r>
        <w:rPr>
          <w:rStyle w:val="29"/>
        </w:rPr>
        <w:t>7</w:t>
      </w:r>
      <w:r>
        <w:rPr>
          <w:rStyle w:val="29"/>
          <w:rFonts w:hint="eastAsia"/>
        </w:rPr>
        <w:t xml:space="preserve"> 分装制备与传递要求</w:t>
      </w:r>
      <w:r>
        <w:tab/>
      </w:r>
      <w:r>
        <w:fldChar w:fldCharType="begin"/>
      </w:r>
      <w:r>
        <w:instrText xml:space="preserve"> PAGEREF _Toc113369332 \h </w:instrText>
      </w:r>
      <w:r>
        <w:fldChar w:fldCharType="separate"/>
      </w:r>
      <w:r>
        <w:t>3</w:t>
      </w:r>
      <w:r>
        <w:fldChar w:fldCharType="end"/>
      </w:r>
      <w:r>
        <w:fldChar w:fldCharType="end"/>
      </w:r>
    </w:p>
    <w:p w14:paraId="2125ACF2">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"_Toc113369333" </w:instrText>
      </w:r>
      <w:r>
        <w:fldChar w:fldCharType="separate"/>
      </w:r>
      <w:r>
        <w:rPr>
          <w:rStyle w:val="29"/>
        </w:rPr>
        <w:t>8</w:t>
      </w:r>
      <w:r>
        <w:rPr>
          <w:rStyle w:val="29"/>
          <w:rFonts w:hint="eastAsia"/>
        </w:rPr>
        <w:t xml:space="preserve"> 样品处置、清理或返回要求</w:t>
      </w:r>
      <w:r>
        <w:tab/>
      </w:r>
      <w:r>
        <w:fldChar w:fldCharType="begin"/>
      </w:r>
      <w:r>
        <w:instrText xml:space="preserve"> PAGEREF _Toc113369333 \h </w:instrText>
      </w:r>
      <w:r>
        <w:fldChar w:fldCharType="separate"/>
      </w:r>
      <w:r>
        <w:t>4</w:t>
      </w:r>
      <w:r>
        <w:fldChar w:fldCharType="end"/>
      </w:r>
      <w:r>
        <w:fldChar w:fldCharType="end"/>
      </w:r>
    </w:p>
    <w:p w14:paraId="3D688C1E">
      <w:pPr>
        <w:pStyle w:val="14"/>
        <w:tabs>
          <w:tab w:val="right" w:leader="dot" w:pos="9344"/>
        </w:tabs>
        <w:rPr>
          <w:rFonts w:asciiTheme="minorHAnsi" w:hAnsiTheme="minorHAnsi" w:eastAsiaTheme="minorEastAsia" w:cstheme="minorBidi"/>
          <w:szCs w:val="22"/>
        </w:rPr>
      </w:pPr>
      <w:r>
        <w:fldChar w:fldCharType="begin"/>
      </w:r>
      <w:r>
        <w:instrText xml:space="preserve"> HYPERLINK \l "_Toc113369334" </w:instrText>
      </w:r>
      <w:r>
        <w:fldChar w:fldCharType="separate"/>
      </w:r>
      <w:r>
        <w:rPr>
          <w:rStyle w:val="29"/>
        </w:rPr>
        <w:t>9</w:t>
      </w:r>
      <w:r>
        <w:rPr>
          <w:rStyle w:val="29"/>
          <w:rFonts w:hint="eastAsia"/>
        </w:rPr>
        <w:t xml:space="preserve"> 样品记录管理要求</w:t>
      </w:r>
      <w:r>
        <w:tab/>
      </w:r>
      <w:r>
        <w:fldChar w:fldCharType="begin"/>
      </w:r>
      <w:r>
        <w:instrText xml:space="preserve"> PAGEREF _Toc113369334 \h </w:instrText>
      </w:r>
      <w:r>
        <w:fldChar w:fldCharType="separate"/>
      </w:r>
      <w:r>
        <w:t>4</w:t>
      </w:r>
      <w:r>
        <w:fldChar w:fldCharType="end"/>
      </w:r>
      <w:r>
        <w:fldChar w:fldCharType="end"/>
      </w:r>
    </w:p>
    <w:p w14:paraId="6ED42A52">
      <w:pPr>
        <w:pStyle w:val="109"/>
        <w:rPr>
          <w:rFonts w:ascii="Times New Roman"/>
          <w:szCs w:val="32"/>
        </w:rPr>
      </w:pPr>
      <w:r>
        <w:fldChar w:fldCharType="end"/>
      </w:r>
      <w:bookmarkStart w:id="3" w:name="_Toc113369325"/>
      <w:r>
        <w:rPr>
          <w:rFonts w:ascii="Times New Roman"/>
          <w:szCs w:val="32"/>
        </w:rPr>
        <w:t>前</w:t>
      </w:r>
      <w:bookmarkStart w:id="4" w:name="BKQY"/>
      <w:r>
        <w:rPr>
          <w:rFonts w:ascii="Times New Roman"/>
          <w:szCs w:val="32"/>
        </w:rPr>
        <w:t>  言</w:t>
      </w:r>
      <w:bookmarkEnd w:id="3"/>
      <w:bookmarkEnd w:id="4"/>
    </w:p>
    <w:p w14:paraId="5C687A4F">
      <w:pPr>
        <w:pStyle w:val="140"/>
        <w:ind w:firstLine="420"/>
      </w:pPr>
      <w:r>
        <w:rPr>
          <w:rFonts w:hint="eastAsia"/>
        </w:rPr>
        <w:t>本文件按照GB/T 1.1—2020《标准化工作导则  第1部分：标准化文件的结构和起草规则》的规定起草。</w:t>
      </w:r>
    </w:p>
    <w:p w14:paraId="2F28FF8B">
      <w:pPr>
        <w:pStyle w:val="140"/>
        <w:ind w:firstLine="420"/>
        <w:rPr>
          <w:highlight w:val="none"/>
        </w:rPr>
      </w:pPr>
      <w:r>
        <w:rPr>
          <w:rFonts w:hint="eastAsia"/>
        </w:rPr>
        <w:t>本文件</w:t>
      </w:r>
      <w:r>
        <w:rPr>
          <w:rFonts w:hint="eastAsia"/>
          <w:highlight w:val="none"/>
        </w:rPr>
        <w:t>由</w:t>
      </w:r>
      <w:r>
        <w:rPr>
          <w:rFonts w:hint="eastAsia"/>
          <w:highlight w:val="none"/>
          <w:lang w:val="en-US" w:eastAsia="zh-CN"/>
        </w:rPr>
        <w:t>冕宁火腿协会</w:t>
      </w:r>
      <w:r>
        <w:rPr>
          <w:rFonts w:hint="eastAsia"/>
          <w:highlight w:val="none"/>
        </w:rPr>
        <w:t>提出并归口。</w:t>
      </w:r>
    </w:p>
    <w:p w14:paraId="52E03EFA">
      <w:pPr>
        <w:pStyle w:val="140"/>
        <w:ind w:firstLine="420"/>
      </w:pPr>
      <w:r>
        <w:rPr>
          <w:rFonts w:hint="eastAsia"/>
          <w:highlight w:val="none"/>
        </w:rPr>
        <w:t>本文件起草单位：</w:t>
      </w:r>
      <w:r>
        <w:rPr>
          <w:rFonts w:hint="eastAsia" w:ascii="Times New Roman"/>
          <w:highlight w:val="none"/>
        </w:rPr>
        <w:t>四川大学、四川轻化工大学、四川利源养殖有限责任公司、冕宁县余记火腿食品有限公司、冕宁县玖源火腿厂、冕宁县康远种养殖专业合作社、冕宁尚品生态农业有限责任</w:t>
      </w:r>
      <w:r>
        <w:rPr>
          <w:rFonts w:hint="eastAsia" w:ascii="Times New Roman"/>
          <w:highlight w:val="none"/>
        </w:rPr>
        <w:t>公司、</w:t>
      </w:r>
      <w:r>
        <w:rPr>
          <w:rFonts w:hint="eastAsia"/>
          <w:highlight w:val="none"/>
          <w:lang w:val="en-US" w:eastAsia="zh-CN"/>
        </w:rPr>
        <w:t>冕宁火腿协会、</w:t>
      </w:r>
      <w:r>
        <w:rPr>
          <w:rFonts w:hint="eastAsia" w:ascii="Times New Roman"/>
          <w:highlight w:val="none"/>
        </w:rPr>
        <w:t>四川</w:t>
      </w:r>
      <w:r>
        <w:rPr>
          <w:rFonts w:hint="eastAsia"/>
        </w:rPr>
        <w:t>省食品饮料产业协会。</w:t>
      </w:r>
    </w:p>
    <w:p w14:paraId="7FDCE198">
      <w:pPr>
        <w:pStyle w:val="140"/>
        <w:ind w:firstLine="420"/>
      </w:pPr>
      <w:r>
        <w:rPr>
          <w:rFonts w:hint="eastAsia"/>
        </w:rPr>
        <w:t>本文件主要起草人：</w:t>
      </w:r>
      <w:r>
        <w:t>赵志峰、张杰、</w:t>
      </w:r>
      <w:r>
        <w:rPr>
          <w:rFonts w:hint="eastAsia"/>
        </w:rPr>
        <w:t>冉淋源、</w:t>
      </w:r>
      <w:r>
        <w:t>董科、王佐军、高颖、马长寿、余仕勇、廖天琪、</w:t>
      </w:r>
      <w:r>
        <w:rPr>
          <w:rFonts w:hint="eastAsia"/>
        </w:rPr>
        <w:t>廖维</w:t>
      </w:r>
      <w:r>
        <w:rPr>
          <w:rFonts w:hint="eastAsia"/>
          <w:lang w:eastAsia="zh-CN"/>
        </w:rPr>
        <w:t>、</w:t>
      </w:r>
      <w:r>
        <w:rPr>
          <w:rFonts w:hint="eastAsia"/>
        </w:rPr>
        <w:t>廖仿</w:t>
      </w:r>
      <w:r>
        <w:rPr>
          <w:rFonts w:hint="eastAsia"/>
          <w:lang w:eastAsia="zh-CN"/>
        </w:rPr>
        <w:t>、</w:t>
      </w:r>
      <w:r>
        <w:t>马</w:t>
      </w:r>
      <w:r>
        <w:rPr>
          <w:rFonts w:ascii="Times New Roman"/>
          <w:color w:val="000000"/>
        </w:rPr>
        <w:t>龙</w:t>
      </w:r>
      <w:r>
        <w:rPr>
          <w:rFonts w:hint="eastAsia" w:ascii="Times New Roman"/>
          <w:color w:val="000000"/>
          <w:lang w:eastAsia="zh-CN"/>
        </w:rPr>
        <w:t>、</w:t>
      </w:r>
      <w:r>
        <w:rPr>
          <w:rFonts w:hint="eastAsia" w:ascii="Times New Roman"/>
          <w:color w:val="000000"/>
          <w:lang w:val="en-US" w:eastAsia="zh-CN"/>
        </w:rPr>
        <w:t>徐艳</w:t>
      </w:r>
      <w:r>
        <w:rPr>
          <w:rFonts w:hint="eastAsia"/>
        </w:rPr>
        <w:t>。</w:t>
      </w:r>
    </w:p>
    <w:p w14:paraId="57C7902F">
      <w:pPr>
        <w:pStyle w:val="140"/>
        <w:ind w:firstLine="420"/>
      </w:pPr>
      <w:r>
        <w:rPr>
          <w:rFonts w:hint="eastAsia"/>
        </w:rPr>
        <w:t>本文件为首次发布。</w:t>
      </w:r>
    </w:p>
    <w:p w14:paraId="1DF3409B">
      <w:pPr>
        <w:pStyle w:val="140"/>
        <w:ind w:firstLine="420"/>
      </w:pPr>
      <w:r>
        <w:rPr>
          <w:rFonts w:hint="eastAsia"/>
        </w:rPr>
        <w:t>使用本文件应征得发布单位同意。</w:t>
      </w:r>
    </w:p>
    <w:p w14:paraId="18023282">
      <w:pPr>
        <w:pStyle w:val="140"/>
        <w:ind w:firstLine="420"/>
      </w:pPr>
    </w:p>
    <w:p w14:paraId="2758618C">
      <w:pPr>
        <w:pStyle w:val="140"/>
        <w:ind w:firstLine="420"/>
      </w:pPr>
    </w:p>
    <w:p w14:paraId="04A2F3CE">
      <w:pPr>
        <w:pStyle w:val="140"/>
        <w:ind w:firstLine="420"/>
      </w:pPr>
    </w:p>
    <w:p w14:paraId="7A6FE54C">
      <w:pPr>
        <w:pStyle w:val="140"/>
        <w:ind w:firstLine="420"/>
      </w:pPr>
    </w:p>
    <w:p w14:paraId="31BC8F0B">
      <w:pPr>
        <w:pStyle w:val="140"/>
        <w:ind w:firstLine="420"/>
      </w:pPr>
      <w:bookmarkStart w:id="46" w:name="_GoBack"/>
      <w:bookmarkEnd w:id="46"/>
    </w:p>
    <w:p w14:paraId="29C86B58">
      <w:pPr>
        <w:pStyle w:val="140"/>
        <w:ind w:firstLine="420"/>
      </w:pPr>
    </w:p>
    <w:p w14:paraId="08CADA5A">
      <w:pPr>
        <w:pStyle w:val="140"/>
        <w:ind w:firstLine="420"/>
      </w:pPr>
    </w:p>
    <w:p w14:paraId="692757D4">
      <w:pPr>
        <w:pStyle w:val="140"/>
        <w:ind w:firstLine="420"/>
      </w:pPr>
    </w:p>
    <w:p w14:paraId="25615581">
      <w:pPr>
        <w:pStyle w:val="140"/>
        <w:ind w:firstLine="420"/>
      </w:pPr>
    </w:p>
    <w:p w14:paraId="221A0883">
      <w:pPr>
        <w:pStyle w:val="140"/>
        <w:ind w:firstLine="420"/>
      </w:pPr>
    </w:p>
    <w:p w14:paraId="5BC54A7A">
      <w:pPr>
        <w:pStyle w:val="140"/>
        <w:ind w:firstLine="420"/>
      </w:pPr>
    </w:p>
    <w:p w14:paraId="3AC70FB3">
      <w:pPr>
        <w:pStyle w:val="140"/>
        <w:ind w:firstLine="420"/>
      </w:pPr>
    </w:p>
    <w:p w14:paraId="01B216A8">
      <w:pPr>
        <w:pStyle w:val="140"/>
        <w:ind w:firstLine="420"/>
      </w:pPr>
    </w:p>
    <w:p w14:paraId="281BC93B">
      <w:pPr>
        <w:pStyle w:val="140"/>
        <w:ind w:firstLine="420"/>
      </w:pPr>
    </w:p>
    <w:p w14:paraId="4D0397A1">
      <w:pPr>
        <w:pStyle w:val="140"/>
        <w:ind w:firstLine="420"/>
      </w:pPr>
    </w:p>
    <w:p w14:paraId="1DDCD900">
      <w:pPr>
        <w:pStyle w:val="140"/>
        <w:ind w:firstLine="420"/>
      </w:pPr>
    </w:p>
    <w:p w14:paraId="3C7DA2DA">
      <w:pPr>
        <w:pStyle w:val="140"/>
        <w:ind w:firstLine="420"/>
      </w:pPr>
    </w:p>
    <w:p w14:paraId="3ADD5478">
      <w:pPr>
        <w:pStyle w:val="140"/>
        <w:ind w:firstLine="420"/>
      </w:pPr>
    </w:p>
    <w:p w14:paraId="57FE602D">
      <w:pPr>
        <w:pStyle w:val="140"/>
        <w:ind w:firstLine="420"/>
      </w:pPr>
    </w:p>
    <w:p w14:paraId="54BC7D5B">
      <w:pPr>
        <w:pStyle w:val="140"/>
        <w:ind w:firstLine="420"/>
      </w:pPr>
    </w:p>
    <w:p w14:paraId="5E21F22F">
      <w:pPr>
        <w:pStyle w:val="140"/>
        <w:ind w:firstLine="420"/>
      </w:pPr>
    </w:p>
    <w:p w14:paraId="5754E504">
      <w:pPr>
        <w:pStyle w:val="140"/>
        <w:ind w:firstLine="420"/>
      </w:pPr>
    </w:p>
    <w:p w14:paraId="6EE2B287">
      <w:pPr>
        <w:pStyle w:val="140"/>
        <w:ind w:firstLine="420"/>
      </w:pPr>
    </w:p>
    <w:p w14:paraId="09E7CA5A">
      <w:pPr>
        <w:pStyle w:val="140"/>
        <w:ind w:firstLine="420"/>
      </w:pPr>
    </w:p>
    <w:p w14:paraId="1C4A81FD">
      <w:pPr>
        <w:widowControl/>
        <w:jc w:val="left"/>
        <w:rPr>
          <w:rFonts w:ascii="黑体" w:hAnsi="黑体" w:eastAsia="黑体"/>
          <w:sz w:val="36"/>
          <w:szCs w:val="36"/>
        </w:rPr>
        <w:sectPr>
          <w:headerReference r:id="rId4" w:type="default"/>
          <w:footerReference r:id="rId5" w:type="default"/>
          <w:pgSz w:w="11906" w:h="16838"/>
          <w:pgMar w:top="567" w:right="1134" w:bottom="1134" w:left="1418" w:header="1418" w:footer="1134" w:gutter="0"/>
          <w:pgNumType w:fmt="upperRoman" w:start="1"/>
          <w:cols w:space="425" w:num="1"/>
          <w:formProt w:val="0"/>
          <w:docGrid w:type="lines" w:linePitch="312" w:charSpace="0"/>
        </w:sectPr>
      </w:pPr>
    </w:p>
    <w:p w14:paraId="71698F97">
      <w:pPr>
        <w:jc w:val="center"/>
        <w:rPr>
          <w:rFonts w:ascii="黑体" w:hAnsi="黑体" w:eastAsia="黑体"/>
          <w:sz w:val="36"/>
          <w:szCs w:val="36"/>
        </w:rPr>
      </w:pPr>
      <w:r>
        <w:rPr>
          <w:rFonts w:hint="eastAsia" w:ascii="黑体" w:hAnsi="黑体" w:eastAsia="黑体"/>
          <w:sz w:val="36"/>
          <w:szCs w:val="36"/>
        </w:rPr>
        <w:t>冕宁火腿生产卫生规范</w:t>
      </w:r>
    </w:p>
    <w:p w14:paraId="79B67509">
      <w:pPr>
        <w:pStyle w:val="148"/>
        <w:spacing w:before="312" w:after="312"/>
        <w:ind w:left="420" w:hanging="420"/>
        <w:jc w:val="left"/>
      </w:pPr>
      <w:bookmarkStart w:id="5" w:name="_Toc26986530"/>
      <w:bookmarkStart w:id="6" w:name="_Toc24884211"/>
      <w:bookmarkStart w:id="7" w:name="_Toc110669451"/>
      <w:bookmarkStart w:id="8" w:name="_Toc97192964"/>
      <w:bookmarkStart w:id="9" w:name="_Toc113369326"/>
      <w:bookmarkStart w:id="10" w:name="_Toc26648465"/>
      <w:bookmarkStart w:id="11" w:name="_Toc26718930"/>
      <w:bookmarkStart w:id="12" w:name="_Toc26986771"/>
      <w:bookmarkStart w:id="13" w:name="_Toc17233325"/>
      <w:bookmarkStart w:id="14" w:name="_Toc24884218"/>
      <w:bookmarkStart w:id="15" w:name="_Toc17233333"/>
      <w:bookmarkStart w:id="16" w:name="_Toc110779478"/>
      <w:r>
        <w:rPr>
          <w:rFonts w:hint="eastAsia"/>
        </w:rPr>
        <w:t>范围</w:t>
      </w:r>
      <w:bookmarkEnd w:id="5"/>
      <w:bookmarkEnd w:id="6"/>
      <w:bookmarkEnd w:id="7"/>
      <w:bookmarkEnd w:id="8"/>
      <w:bookmarkEnd w:id="9"/>
      <w:bookmarkEnd w:id="10"/>
      <w:bookmarkEnd w:id="11"/>
      <w:bookmarkEnd w:id="12"/>
      <w:bookmarkEnd w:id="13"/>
      <w:bookmarkEnd w:id="14"/>
      <w:bookmarkEnd w:id="15"/>
      <w:bookmarkEnd w:id="16"/>
    </w:p>
    <w:p w14:paraId="67B4CABC">
      <w:pPr>
        <w:pStyle w:val="140"/>
        <w:ind w:firstLine="420"/>
      </w:pPr>
      <w:bookmarkStart w:id="17" w:name="_Toc24884212"/>
      <w:bookmarkStart w:id="18" w:name="_Toc24884219"/>
      <w:bookmarkStart w:id="19" w:name="_Toc17233326"/>
      <w:bookmarkStart w:id="20" w:name="_Toc17233334"/>
      <w:bookmarkStart w:id="21" w:name="_Toc26648466"/>
      <w:r>
        <w:rPr>
          <w:rFonts w:hint="eastAsia"/>
        </w:rPr>
        <w:t>本标准规定了冕宁火腿生产在选址与厂区环境、厂房与车间、设施、设备与工器具、卫生管理、食品原辅料和食品相关产品、生产过程管理、生产过程的食品安全控制、成品技术要求、检验、成品的贮存与运输、主体责任制落实、产品召回管理、培训、管理制度和人员、文件和记录等方面的基本要求和管理准则。</w:t>
      </w:r>
    </w:p>
    <w:p w14:paraId="1DD280DD">
      <w:pPr>
        <w:pStyle w:val="140"/>
        <w:ind w:firstLine="420"/>
      </w:pPr>
      <w:r>
        <w:rPr>
          <w:rFonts w:hint="eastAsia"/>
        </w:rPr>
        <w:t>本标准适用于冕宁火腿的生产管理和成品管理。</w:t>
      </w:r>
    </w:p>
    <w:p w14:paraId="2FA66DB6">
      <w:pPr>
        <w:pStyle w:val="148"/>
        <w:spacing w:before="312" w:after="312"/>
      </w:pPr>
      <w:bookmarkStart w:id="22" w:name="_Toc113369327"/>
      <w:bookmarkStart w:id="23" w:name="_Toc26986772"/>
      <w:bookmarkStart w:id="24" w:name="_Toc110779479"/>
      <w:bookmarkStart w:id="25" w:name="_Toc110669452"/>
      <w:bookmarkStart w:id="26" w:name="_Toc26718931"/>
      <w:bookmarkStart w:id="27" w:name="_Toc97192965"/>
      <w:bookmarkStart w:id="28" w:name="_Toc26986531"/>
      <w:r>
        <w:rPr>
          <w:rFonts w:hint="eastAsia"/>
        </w:rPr>
        <w:t>规范性引用文件</w:t>
      </w:r>
      <w:bookmarkEnd w:id="17"/>
      <w:bookmarkEnd w:id="18"/>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A70AA2AA181B4E7C95FEB6171D652D5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ECBA747">
          <w:pPr>
            <w:pStyle w:val="14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DCFF33">
      <w:pPr>
        <w:pStyle w:val="140"/>
        <w:ind w:firstLine="420"/>
      </w:pPr>
      <w:r>
        <w:rPr>
          <w:rFonts w:hint="eastAsia"/>
        </w:rPr>
        <w:t>R</w:t>
      </w:r>
      <w:r>
        <w:t xml:space="preserve">B/T 214 </w:t>
      </w:r>
      <w:r>
        <w:rPr>
          <w:rFonts w:hint="eastAsia"/>
        </w:rPr>
        <w:t>检验检测机构资质认定能力评价 检验检测机构通用要求</w:t>
      </w:r>
    </w:p>
    <w:p w14:paraId="0A37080B">
      <w:pPr>
        <w:pStyle w:val="140"/>
        <w:ind w:firstLine="420"/>
      </w:pPr>
      <w:r>
        <w:rPr>
          <w:rFonts w:hint="eastAsia"/>
        </w:rPr>
        <w:t>GB 2707 食品安全国家标准  鲜（冻）畜禽产品</w:t>
      </w:r>
    </w:p>
    <w:p w14:paraId="7C3C5087">
      <w:pPr>
        <w:pStyle w:val="140"/>
        <w:ind w:firstLine="420"/>
      </w:pPr>
      <w:r>
        <w:rPr>
          <w:rFonts w:hint="eastAsia"/>
        </w:rPr>
        <w:t>GB 2721 食品安全国家标准  食用盐</w:t>
      </w:r>
    </w:p>
    <w:p w14:paraId="30EA56A3">
      <w:pPr>
        <w:pStyle w:val="140"/>
        <w:ind w:firstLine="420"/>
      </w:pPr>
      <w:r>
        <w:rPr>
          <w:rFonts w:hint="eastAsia"/>
        </w:rPr>
        <w:t>GB 2730 食品安全国家标准  腌腊肉制品</w:t>
      </w:r>
    </w:p>
    <w:p w14:paraId="290A6DFA">
      <w:pPr>
        <w:pStyle w:val="140"/>
        <w:ind w:firstLine="420"/>
      </w:pPr>
      <w:r>
        <w:rPr>
          <w:rFonts w:hint="eastAsia"/>
        </w:rPr>
        <w:t>GB 2762 食品安全国家标准  食品中污染物限量</w:t>
      </w:r>
    </w:p>
    <w:p w14:paraId="1029E398">
      <w:pPr>
        <w:pStyle w:val="140"/>
        <w:ind w:firstLine="420"/>
      </w:pPr>
      <w:bookmarkStart w:id="29" w:name="OLE_LINK42"/>
      <w:r>
        <w:rPr>
          <w:rFonts w:hint="eastAsia"/>
        </w:rPr>
        <w:t>GB 2763 食品安全国家标准  食品中农药最大残留限量</w:t>
      </w:r>
    </w:p>
    <w:p w14:paraId="320CF48B">
      <w:pPr>
        <w:pStyle w:val="140"/>
        <w:ind w:firstLine="420"/>
      </w:pPr>
      <w:r>
        <w:rPr>
          <w:rFonts w:hint="eastAsia"/>
        </w:rPr>
        <w:t>GB 5009.179 食品安全国家标准  食品中三甲胺的测定</w:t>
      </w:r>
    </w:p>
    <w:p w14:paraId="360E466C">
      <w:pPr>
        <w:pStyle w:val="140"/>
        <w:ind w:firstLine="420"/>
      </w:pPr>
      <w:r>
        <w:rPr>
          <w:rFonts w:hint="eastAsia"/>
        </w:rPr>
        <w:t>GB 5009.227 食品安全国家标准  食品中过氧化值的测定</w:t>
      </w:r>
    </w:p>
    <w:p w14:paraId="5CB0737A">
      <w:pPr>
        <w:pStyle w:val="140"/>
        <w:ind w:firstLine="420"/>
      </w:pPr>
      <w:r>
        <w:rPr>
          <w:rFonts w:hint="eastAsia"/>
        </w:rPr>
        <w:t>GB 5009.3 食品安全国家标准  食品中水分的测定</w:t>
      </w:r>
    </w:p>
    <w:p w14:paraId="784AEBC7">
      <w:pPr>
        <w:pStyle w:val="140"/>
        <w:ind w:firstLine="420"/>
      </w:pPr>
      <w:r>
        <w:rPr>
          <w:rFonts w:hint="eastAsia"/>
        </w:rPr>
        <w:t xml:space="preserve">GB 5009.33 食品安全国家标准  </w:t>
      </w:r>
      <w:bookmarkStart w:id="30" w:name="OLE_LINK9"/>
      <w:r>
        <w:rPr>
          <w:rFonts w:hint="eastAsia"/>
        </w:rPr>
        <w:t>食品中亚硝酸盐与硝酸盐</w:t>
      </w:r>
      <w:bookmarkEnd w:id="30"/>
      <w:r>
        <w:rPr>
          <w:rFonts w:hint="eastAsia"/>
        </w:rPr>
        <w:t>的测定</w:t>
      </w:r>
    </w:p>
    <w:p w14:paraId="6D44370A">
      <w:pPr>
        <w:pStyle w:val="140"/>
        <w:ind w:firstLine="420"/>
      </w:pPr>
      <w:bookmarkStart w:id="31" w:name="OLE_LINK3"/>
      <w:r>
        <w:rPr>
          <w:rFonts w:hint="eastAsia"/>
        </w:rPr>
        <w:t>GB 5009.44 食品安全国家标准  食品中氯化物的测定</w:t>
      </w:r>
    </w:p>
    <w:p w14:paraId="6D005D50">
      <w:pPr>
        <w:pStyle w:val="140"/>
        <w:ind w:firstLine="420"/>
      </w:pPr>
      <w:r>
        <w:rPr>
          <w:rFonts w:hint="eastAsia"/>
        </w:rPr>
        <w:t>GB/T 5461</w:t>
      </w:r>
      <w:bookmarkEnd w:id="29"/>
      <w:r>
        <w:rPr>
          <w:rFonts w:hint="eastAsia"/>
        </w:rPr>
        <w:t xml:space="preserve"> 食用盐</w:t>
      </w:r>
    </w:p>
    <w:p w14:paraId="4208A872">
      <w:pPr>
        <w:pStyle w:val="140"/>
        <w:ind w:firstLine="420"/>
      </w:pPr>
      <w:r>
        <w:rPr>
          <w:rFonts w:hint="eastAsia"/>
        </w:rPr>
        <w:t>GB 14881 食品安全国家标准  食品生产通用卫生规范</w:t>
      </w:r>
    </w:p>
    <w:p w14:paraId="6132E3EB">
      <w:pPr>
        <w:pStyle w:val="140"/>
        <w:ind w:firstLine="420"/>
      </w:pPr>
      <w:r>
        <w:rPr>
          <w:rFonts w:hint="eastAsia"/>
        </w:rPr>
        <w:t>GB 14930.1 食品安全国家标准  洗涤剂</w:t>
      </w:r>
    </w:p>
    <w:p w14:paraId="785EABA6">
      <w:pPr>
        <w:pStyle w:val="140"/>
        <w:ind w:firstLine="420"/>
      </w:pPr>
      <w:r>
        <w:rPr>
          <w:rFonts w:hint="eastAsia"/>
        </w:rPr>
        <w:t>GB 14930.2 食品安全国家标准  消毒剂</w:t>
      </w:r>
    </w:p>
    <w:p w14:paraId="62EBF41E">
      <w:pPr>
        <w:pStyle w:val="140"/>
        <w:ind w:firstLine="420"/>
      </w:pPr>
      <w:r>
        <w:rPr>
          <w:rFonts w:hint="eastAsia"/>
        </w:rPr>
        <w:t>GB 31650 食品安全国家标准  食品中兽药最大残留限量</w:t>
      </w:r>
    </w:p>
    <w:p w14:paraId="110103A2">
      <w:pPr>
        <w:pStyle w:val="140"/>
        <w:ind w:firstLine="420"/>
      </w:pPr>
      <w:r>
        <w:rPr>
          <w:rFonts w:hint="eastAsia"/>
        </w:rPr>
        <w:t>T/MNHT0001  冕宁火腿</w:t>
      </w:r>
    </w:p>
    <w:p w14:paraId="6EF5246E">
      <w:pPr>
        <w:pStyle w:val="140"/>
        <w:ind w:firstLine="420"/>
      </w:pPr>
      <w:r>
        <w:rPr>
          <w:rFonts w:hint="eastAsia"/>
        </w:rPr>
        <w:t>JJF 1070 定量包装商品净含量计量检验规范</w:t>
      </w:r>
    </w:p>
    <w:p w14:paraId="4D839435">
      <w:pPr>
        <w:pStyle w:val="140"/>
        <w:ind w:firstLine="420"/>
      </w:pPr>
      <w:r>
        <w:rPr>
          <w:rFonts w:hint="eastAsia"/>
        </w:rPr>
        <w:t>国家市场监督管理总局令第60号《企业落实食品安全主体责任监督管理规定》</w:t>
      </w:r>
    </w:p>
    <w:p w14:paraId="4BD9A605">
      <w:pPr>
        <w:pStyle w:val="140"/>
        <w:ind w:firstLine="420"/>
      </w:pPr>
      <w:r>
        <w:rPr>
          <w:rFonts w:hint="eastAsia"/>
        </w:rPr>
        <w:t>国家市场监督管理总局令第70号《定量包装商品计量监督管理办法》</w:t>
      </w:r>
    </w:p>
    <w:bookmarkEnd w:id="31"/>
    <w:p w14:paraId="77C2F5D0">
      <w:pPr>
        <w:pStyle w:val="140"/>
        <w:ind w:firstLine="420"/>
      </w:pPr>
    </w:p>
    <w:p w14:paraId="0D5D3144">
      <w:pPr>
        <w:pStyle w:val="148"/>
        <w:spacing w:before="312" w:after="312"/>
      </w:pPr>
      <w:bookmarkStart w:id="32" w:name="_Toc110669453"/>
      <w:bookmarkStart w:id="33" w:name="_Toc113369328"/>
      <w:bookmarkStart w:id="34" w:name="_Toc97192966"/>
      <w:bookmarkStart w:id="35" w:name="_Toc110779480"/>
      <w:r>
        <w:rPr>
          <w:rFonts w:hint="eastAsia"/>
          <w:szCs w:val="21"/>
        </w:rPr>
        <w:t>术语和定义</w:t>
      </w:r>
      <w:bookmarkEnd w:id="32"/>
      <w:bookmarkEnd w:id="33"/>
      <w:bookmarkEnd w:id="34"/>
      <w:bookmarkEnd w:id="35"/>
    </w:p>
    <w:sdt>
      <w:sdtPr>
        <w:id w:val="-1909835108"/>
        <w:placeholder>
          <w:docPart w:val="{bad69947-d6ef-4f0e-b9c3-fc0c833fe7d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37A531">
          <w:pPr>
            <w:pStyle w:val="140"/>
            <w:ind w:firstLine="420"/>
          </w:pPr>
          <w:r>
            <w:t>下列术语和定义适用于本文件。</w:t>
          </w:r>
        </w:p>
      </w:sdtContent>
    </w:sdt>
    <w:p w14:paraId="30C91813">
      <w:pPr>
        <w:pStyle w:val="153"/>
      </w:pPr>
      <w:r>
        <w:rPr>
          <w:rFonts w:hint="eastAsia"/>
        </w:rPr>
        <w:t>冕宁火腿（Mianning ham）是指以带皮、骨、爪的鲜猪后腿肉为主要原料，辅以食用盐，于四川省西南部，凉山彝族自治州北部冕宁县得天独厚的地理环境下，经腌制、洗晒或风干、发酵加工而成的风味独特、香气浓郁的肉制品。</w:t>
      </w:r>
    </w:p>
    <w:p w14:paraId="2DAD717D">
      <w:pPr>
        <w:pStyle w:val="148"/>
        <w:spacing w:before="312" w:after="312"/>
      </w:pPr>
      <w:r>
        <w:rPr>
          <w:rFonts w:hint="eastAsia"/>
        </w:rPr>
        <w:t>选址与厂区环境</w:t>
      </w:r>
    </w:p>
    <w:p w14:paraId="71E7810E">
      <w:pPr>
        <w:pStyle w:val="153"/>
      </w:pPr>
      <w:r>
        <w:rPr>
          <w:rFonts w:hint="eastAsia"/>
        </w:rPr>
        <w:t>应符合GB 14881中第3章的规定。</w:t>
      </w:r>
    </w:p>
    <w:p w14:paraId="594EDC36">
      <w:pPr>
        <w:pStyle w:val="153"/>
      </w:pPr>
      <w:r>
        <w:rPr>
          <w:rFonts w:hint="eastAsia"/>
        </w:rPr>
        <w:t>厂区应具备与生产系统相匹配的排水系统，副产物、废弃物收集或处理系统。</w:t>
      </w:r>
    </w:p>
    <w:p w14:paraId="4162F3A3">
      <w:pPr>
        <w:pStyle w:val="153"/>
      </w:pPr>
      <w:r>
        <w:rPr>
          <w:rFonts w:hint="eastAsia"/>
        </w:rPr>
        <w:t>厂区周界应有适当防范外来污染源的设计与构筑。</w:t>
      </w:r>
    </w:p>
    <w:p w14:paraId="0C297CE6">
      <w:pPr>
        <w:pStyle w:val="153"/>
      </w:pPr>
      <w:r>
        <w:rPr>
          <w:rFonts w:hint="eastAsia"/>
        </w:rPr>
        <w:t>厂区内禁止饲养动物。</w:t>
      </w:r>
    </w:p>
    <w:p w14:paraId="2EA93E60">
      <w:pPr>
        <w:pStyle w:val="148"/>
        <w:spacing w:before="312" w:after="312"/>
      </w:pPr>
      <w:r>
        <w:rPr>
          <w:rFonts w:hint="eastAsia"/>
        </w:rPr>
        <w:t>厂房与车间</w:t>
      </w:r>
    </w:p>
    <w:p w14:paraId="2DCAB2E8">
      <w:pPr>
        <w:pStyle w:val="149"/>
        <w:spacing w:before="156" w:after="156"/>
      </w:pPr>
      <w:r>
        <w:rPr>
          <w:rFonts w:hint="eastAsia"/>
        </w:rPr>
        <w:t>设计和布局</w:t>
      </w:r>
    </w:p>
    <w:p w14:paraId="543E3370">
      <w:pPr>
        <w:pStyle w:val="153"/>
        <w:numPr>
          <w:ilvl w:val="2"/>
          <w:numId w:val="0"/>
        </w:numPr>
        <w:ind w:left="158" w:leftChars="75" w:firstLine="157" w:firstLineChars="75"/>
      </w:pPr>
      <w:r>
        <w:rPr>
          <w:rFonts w:hint="eastAsia"/>
        </w:rPr>
        <w:t>各生产场所应根据工艺流程的要求，按照原料选料验收、盘腿修坯、腌制、堆码翻压、洗腿整形、风干、发酵后熟、包装等工序设置原料验收预处理间、腌制间、洗腿间、风干间、发酵后熟间、包装间等主要生产加工车间，以及工器具洗消间、原料贮存间、辅料贮存间等辅助车间。</w:t>
      </w:r>
    </w:p>
    <w:p w14:paraId="714842A0">
      <w:pPr>
        <w:pStyle w:val="149"/>
        <w:spacing w:before="156" w:after="156"/>
      </w:pPr>
      <w:r>
        <w:rPr>
          <w:rFonts w:hint="eastAsia"/>
        </w:rPr>
        <w:t>建筑内部结构与材料</w:t>
      </w:r>
    </w:p>
    <w:p w14:paraId="7C30E663">
      <w:pPr>
        <w:pStyle w:val="155"/>
        <w:numPr>
          <w:ilvl w:val="0"/>
          <w:numId w:val="23"/>
        </w:numPr>
        <w:tabs>
          <w:tab w:val="left" w:pos="840"/>
        </w:tabs>
        <w:ind w:left="851" w:hanging="426"/>
      </w:pPr>
      <w:r>
        <w:rPr>
          <w:rFonts w:hint="eastAsia"/>
        </w:rPr>
        <w:t>内部结构：应符合GB 14881中4.2.1的规定；</w:t>
      </w:r>
    </w:p>
    <w:p w14:paraId="7B036450">
      <w:pPr>
        <w:pStyle w:val="155"/>
        <w:numPr>
          <w:ilvl w:val="0"/>
          <w:numId w:val="23"/>
        </w:numPr>
        <w:tabs>
          <w:tab w:val="left" w:pos="840"/>
        </w:tabs>
        <w:ind w:left="851" w:hanging="426"/>
      </w:pPr>
      <w:r>
        <w:rPr>
          <w:rFonts w:hint="eastAsia"/>
        </w:rPr>
        <w:t>顶棚：应符合GB 14881中4.2.2的规定；</w:t>
      </w:r>
    </w:p>
    <w:p w14:paraId="4C2C571C">
      <w:pPr>
        <w:pStyle w:val="155"/>
        <w:numPr>
          <w:ilvl w:val="0"/>
          <w:numId w:val="23"/>
        </w:numPr>
        <w:tabs>
          <w:tab w:val="left" w:pos="840"/>
        </w:tabs>
        <w:ind w:left="851" w:hanging="426"/>
      </w:pPr>
      <w:r>
        <w:rPr>
          <w:rFonts w:hint="eastAsia"/>
        </w:rPr>
        <w:t>墙壁：应符合GB 14881中4.2.3的规定；</w:t>
      </w:r>
    </w:p>
    <w:p w14:paraId="5C16A55C">
      <w:pPr>
        <w:pStyle w:val="155"/>
        <w:numPr>
          <w:ilvl w:val="0"/>
          <w:numId w:val="23"/>
        </w:numPr>
        <w:tabs>
          <w:tab w:val="left" w:pos="840"/>
        </w:tabs>
        <w:ind w:left="851" w:hanging="426"/>
      </w:pPr>
      <w:r>
        <w:rPr>
          <w:rFonts w:hint="eastAsia"/>
        </w:rPr>
        <w:t>门窗：应符合GB 14881中4.2.4的规定；</w:t>
      </w:r>
    </w:p>
    <w:p w14:paraId="6BD2B29B">
      <w:pPr>
        <w:pStyle w:val="155"/>
        <w:numPr>
          <w:ilvl w:val="0"/>
          <w:numId w:val="23"/>
        </w:numPr>
        <w:tabs>
          <w:tab w:val="left" w:pos="840"/>
        </w:tabs>
        <w:ind w:left="851" w:hanging="426"/>
      </w:pPr>
      <w:r>
        <w:rPr>
          <w:rFonts w:hint="eastAsia"/>
        </w:rPr>
        <w:t>地面：应符合GB 14881中4.2.5的规定。</w:t>
      </w:r>
    </w:p>
    <w:p w14:paraId="0D1ACBA3">
      <w:pPr>
        <w:pStyle w:val="148"/>
        <w:spacing w:before="312" w:after="312"/>
      </w:pPr>
      <w:r>
        <w:rPr>
          <w:rFonts w:hint="eastAsia"/>
        </w:rPr>
        <w:t>设施、设备与工器具</w:t>
      </w:r>
    </w:p>
    <w:p w14:paraId="5802F246">
      <w:pPr>
        <w:pStyle w:val="149"/>
        <w:spacing w:before="156" w:after="156"/>
      </w:pPr>
      <w:r>
        <w:rPr>
          <w:rFonts w:hint="eastAsia"/>
        </w:rPr>
        <w:t>设施</w:t>
      </w:r>
    </w:p>
    <w:p w14:paraId="04153AE7">
      <w:pPr>
        <w:pStyle w:val="154"/>
      </w:pPr>
      <w:r>
        <w:rPr>
          <w:rFonts w:hint="eastAsia"/>
        </w:rPr>
        <w:t>供、排水设施</w:t>
      </w:r>
    </w:p>
    <w:p w14:paraId="3D8170BB">
      <w:pPr>
        <w:pStyle w:val="153"/>
        <w:numPr>
          <w:ilvl w:val="2"/>
          <w:numId w:val="0"/>
        </w:numPr>
        <w:ind w:left="158" w:leftChars="75" w:firstLine="157" w:firstLineChars="75"/>
      </w:pPr>
      <w:r>
        <w:rPr>
          <w:rFonts w:hint="eastAsia"/>
        </w:rPr>
        <w:t>应符合GB 14881中5.1.1和5.1.2的规定。</w:t>
      </w:r>
    </w:p>
    <w:p w14:paraId="29CE9458">
      <w:pPr>
        <w:pStyle w:val="154"/>
      </w:pPr>
      <w:r>
        <w:rPr>
          <w:rFonts w:hint="eastAsia"/>
        </w:rPr>
        <w:t>清洁消毒设施</w:t>
      </w:r>
    </w:p>
    <w:p w14:paraId="751DC8B6">
      <w:pPr>
        <w:pStyle w:val="153"/>
        <w:numPr>
          <w:ilvl w:val="2"/>
          <w:numId w:val="0"/>
        </w:numPr>
        <w:ind w:left="158" w:leftChars="75" w:firstLine="157" w:firstLineChars="75"/>
      </w:pPr>
      <w:r>
        <w:rPr>
          <w:rFonts w:hint="eastAsia"/>
        </w:rPr>
        <w:t>应符合GB 14881中5.1.3的规定。</w:t>
      </w:r>
    </w:p>
    <w:p w14:paraId="12A9D8AB">
      <w:pPr>
        <w:pStyle w:val="154"/>
      </w:pPr>
      <w:r>
        <w:rPr>
          <w:rFonts w:hint="eastAsia"/>
        </w:rPr>
        <w:t>废弃物存放设施</w:t>
      </w:r>
    </w:p>
    <w:p w14:paraId="18E9D6FD">
      <w:pPr>
        <w:pStyle w:val="153"/>
        <w:numPr>
          <w:ilvl w:val="2"/>
          <w:numId w:val="0"/>
        </w:numPr>
        <w:ind w:left="158" w:leftChars="75" w:firstLine="157" w:firstLineChars="75"/>
      </w:pPr>
      <w:r>
        <w:rPr>
          <w:rFonts w:hint="eastAsia"/>
        </w:rPr>
        <w:t>应符合GB 14881中5.1.4的规定。</w:t>
      </w:r>
    </w:p>
    <w:p w14:paraId="5DE96A98">
      <w:pPr>
        <w:pStyle w:val="154"/>
      </w:pPr>
      <w:r>
        <w:rPr>
          <w:rFonts w:hint="eastAsia"/>
        </w:rPr>
        <w:t>个人卫生设施</w:t>
      </w:r>
    </w:p>
    <w:p w14:paraId="5EAB3C62">
      <w:pPr>
        <w:pStyle w:val="155"/>
        <w:numPr>
          <w:ilvl w:val="0"/>
          <w:numId w:val="24"/>
        </w:numPr>
        <w:tabs>
          <w:tab w:val="left" w:pos="840"/>
        </w:tabs>
        <w:ind w:left="851" w:hanging="426"/>
      </w:pPr>
      <w:r>
        <w:rPr>
          <w:rFonts w:hint="eastAsia"/>
        </w:rPr>
        <w:t>应符合GB 14881中5.1.5的规定；</w:t>
      </w:r>
    </w:p>
    <w:p w14:paraId="6A385C68">
      <w:pPr>
        <w:pStyle w:val="155"/>
        <w:numPr>
          <w:ilvl w:val="0"/>
          <w:numId w:val="24"/>
        </w:numPr>
        <w:tabs>
          <w:tab w:val="left" w:pos="840"/>
        </w:tabs>
        <w:ind w:left="851" w:hanging="426"/>
      </w:pPr>
      <w:r>
        <w:rPr>
          <w:rFonts w:hint="eastAsia"/>
        </w:rPr>
        <w:t>在生产车间更衣室内设置卫生间的，卫生间出口处的地面应有消毒垫或消毒池。</w:t>
      </w:r>
    </w:p>
    <w:p w14:paraId="0F3DF5B3">
      <w:pPr>
        <w:pStyle w:val="154"/>
      </w:pPr>
      <w:r>
        <w:rPr>
          <w:rFonts w:hint="eastAsia"/>
        </w:rPr>
        <w:t>通风设施</w:t>
      </w:r>
    </w:p>
    <w:p w14:paraId="5707876D">
      <w:pPr>
        <w:pStyle w:val="153"/>
        <w:numPr>
          <w:ilvl w:val="2"/>
          <w:numId w:val="0"/>
        </w:numPr>
        <w:ind w:left="158" w:leftChars="75" w:firstLine="157" w:firstLineChars="75"/>
      </w:pPr>
      <w:r>
        <w:rPr>
          <w:rFonts w:hint="eastAsia"/>
        </w:rPr>
        <w:t>应符合GB 14881中5.1.6的规定。</w:t>
      </w:r>
    </w:p>
    <w:p w14:paraId="56E351AA">
      <w:pPr>
        <w:pStyle w:val="154"/>
      </w:pPr>
      <w:r>
        <w:rPr>
          <w:rFonts w:hint="eastAsia"/>
        </w:rPr>
        <w:t>照明设施</w:t>
      </w:r>
    </w:p>
    <w:p w14:paraId="69C0C444">
      <w:pPr>
        <w:pStyle w:val="153"/>
        <w:numPr>
          <w:ilvl w:val="2"/>
          <w:numId w:val="0"/>
        </w:numPr>
        <w:ind w:left="158" w:leftChars="75" w:firstLine="157" w:firstLineChars="75"/>
      </w:pPr>
      <w:r>
        <w:rPr>
          <w:rFonts w:hint="eastAsia"/>
        </w:rPr>
        <w:t>应符合GB 14881中5.1.7的规定。</w:t>
      </w:r>
    </w:p>
    <w:p w14:paraId="233658EB">
      <w:pPr>
        <w:pStyle w:val="154"/>
      </w:pPr>
      <w:r>
        <w:rPr>
          <w:rFonts w:hint="eastAsia"/>
        </w:rPr>
        <w:t>仓储设施</w:t>
      </w:r>
    </w:p>
    <w:p w14:paraId="76FDFEA4">
      <w:pPr>
        <w:pStyle w:val="153"/>
        <w:numPr>
          <w:ilvl w:val="2"/>
          <w:numId w:val="0"/>
        </w:numPr>
        <w:ind w:left="158" w:leftChars="75" w:firstLine="157" w:firstLineChars="75"/>
      </w:pPr>
      <w:r>
        <w:rPr>
          <w:rFonts w:hint="eastAsia"/>
        </w:rPr>
        <w:t>应符合GB 14881中5.1.8的规定。</w:t>
      </w:r>
    </w:p>
    <w:p w14:paraId="091EE087">
      <w:pPr>
        <w:pStyle w:val="154"/>
      </w:pPr>
      <w:r>
        <w:rPr>
          <w:rFonts w:hint="eastAsia"/>
        </w:rPr>
        <w:t>温、湿度控制设施</w:t>
      </w:r>
    </w:p>
    <w:p w14:paraId="009853C5">
      <w:pPr>
        <w:pStyle w:val="155"/>
        <w:numPr>
          <w:ilvl w:val="0"/>
          <w:numId w:val="25"/>
        </w:numPr>
        <w:tabs>
          <w:tab w:val="left" w:pos="840"/>
        </w:tabs>
        <w:ind w:left="851" w:hanging="426"/>
      </w:pPr>
      <w:r>
        <w:rPr>
          <w:rFonts w:hint="eastAsia"/>
        </w:rPr>
        <w:t>温控设施应符合GB 14881中5.1.9的规定；</w:t>
      </w:r>
    </w:p>
    <w:p w14:paraId="6ED24CEF">
      <w:pPr>
        <w:pStyle w:val="155"/>
        <w:numPr>
          <w:ilvl w:val="0"/>
          <w:numId w:val="25"/>
        </w:numPr>
        <w:tabs>
          <w:tab w:val="left" w:pos="840"/>
        </w:tabs>
        <w:ind w:left="851" w:hanging="426"/>
      </w:pPr>
      <w:r>
        <w:rPr>
          <w:rFonts w:hint="eastAsia"/>
        </w:rPr>
        <w:t>控制湿度的区域应配置湿度计，比如腌制车间、风干车间、发酵后熟车间等。</w:t>
      </w:r>
    </w:p>
    <w:p w14:paraId="14DE58A6">
      <w:pPr>
        <w:pStyle w:val="154"/>
      </w:pPr>
      <w:r>
        <w:rPr>
          <w:rFonts w:hint="eastAsia"/>
        </w:rPr>
        <w:t>设施的维护和保养</w:t>
      </w:r>
    </w:p>
    <w:p w14:paraId="30FBA602">
      <w:pPr>
        <w:pStyle w:val="153"/>
        <w:numPr>
          <w:ilvl w:val="2"/>
          <w:numId w:val="0"/>
        </w:numPr>
        <w:ind w:left="158" w:leftChars="75" w:firstLine="157" w:firstLineChars="75"/>
      </w:pPr>
      <w:r>
        <w:rPr>
          <w:rFonts w:hint="eastAsia"/>
        </w:rPr>
        <w:t>应建立设施清单和设施维护保养制度，明确日常检查计划，定期维护保养，按需检修，及时记录。</w:t>
      </w:r>
    </w:p>
    <w:p w14:paraId="411C5C10">
      <w:pPr>
        <w:pStyle w:val="149"/>
        <w:spacing w:before="156" w:after="156"/>
      </w:pPr>
      <w:r>
        <w:rPr>
          <w:rFonts w:hint="eastAsia"/>
        </w:rPr>
        <w:t>设备</w:t>
      </w:r>
    </w:p>
    <w:p w14:paraId="7804BAA2">
      <w:pPr>
        <w:pStyle w:val="154"/>
      </w:pPr>
      <w:r>
        <w:rPr>
          <w:rFonts w:hint="eastAsia"/>
        </w:rPr>
        <w:t>生产设备</w:t>
      </w:r>
    </w:p>
    <w:p w14:paraId="6878DD79">
      <w:pPr>
        <w:pStyle w:val="153"/>
        <w:numPr>
          <w:ilvl w:val="2"/>
          <w:numId w:val="0"/>
        </w:numPr>
        <w:ind w:left="158" w:leftChars="75" w:firstLine="157" w:firstLineChars="75"/>
      </w:pPr>
      <w:r>
        <w:rPr>
          <w:rFonts w:hint="eastAsia"/>
        </w:rPr>
        <w:t>生产设备材质、设计等应符合GB 14881中5.2.1的规定。</w:t>
      </w:r>
    </w:p>
    <w:p w14:paraId="7FD55846">
      <w:pPr>
        <w:pStyle w:val="154"/>
      </w:pPr>
      <w:r>
        <w:rPr>
          <w:rFonts w:hint="eastAsia"/>
        </w:rPr>
        <w:t>监控设备</w:t>
      </w:r>
    </w:p>
    <w:p w14:paraId="36A87628">
      <w:pPr>
        <w:pStyle w:val="153"/>
        <w:numPr>
          <w:ilvl w:val="2"/>
          <w:numId w:val="0"/>
        </w:numPr>
        <w:ind w:left="158" w:leftChars="75" w:firstLine="157" w:firstLineChars="75"/>
      </w:pPr>
      <w:r>
        <w:rPr>
          <w:rFonts w:hint="eastAsia"/>
        </w:rPr>
        <w:t>应符合GB 14881中5.2.2的规定。</w:t>
      </w:r>
    </w:p>
    <w:p w14:paraId="77C9B8C4">
      <w:pPr>
        <w:pStyle w:val="154"/>
      </w:pPr>
      <w:r>
        <w:rPr>
          <w:rFonts w:hint="eastAsia"/>
        </w:rPr>
        <w:t>设备的保养和维修</w:t>
      </w:r>
    </w:p>
    <w:p w14:paraId="10C2280C">
      <w:pPr>
        <w:pStyle w:val="155"/>
        <w:numPr>
          <w:ilvl w:val="0"/>
          <w:numId w:val="26"/>
        </w:numPr>
        <w:tabs>
          <w:tab w:val="left" w:pos="840"/>
        </w:tabs>
        <w:ind w:left="851" w:hanging="426"/>
      </w:pPr>
      <w:r>
        <w:rPr>
          <w:rFonts w:hint="eastAsia"/>
        </w:rPr>
        <w:t>应符合GB 14881中5.2.3的规定；</w:t>
      </w:r>
    </w:p>
    <w:p w14:paraId="03871D1E">
      <w:pPr>
        <w:pStyle w:val="155"/>
        <w:numPr>
          <w:ilvl w:val="0"/>
          <w:numId w:val="26"/>
        </w:numPr>
        <w:tabs>
          <w:tab w:val="left" w:pos="840"/>
        </w:tabs>
        <w:ind w:left="851" w:hanging="426"/>
      </w:pPr>
      <w:r>
        <w:rPr>
          <w:rFonts w:hint="eastAsia"/>
        </w:rPr>
        <w:t>设备的维修、保养措施不得影响产品质量的保障，应由专人负责使用、维修、保养和记录；必要时，应验证或重新确认设备的性能和生产能力是否与生产要求相匹配。</w:t>
      </w:r>
    </w:p>
    <w:p w14:paraId="7174C9AF">
      <w:pPr>
        <w:pStyle w:val="149"/>
        <w:spacing w:before="156" w:after="156"/>
      </w:pPr>
      <w:r>
        <w:rPr>
          <w:rFonts w:hint="eastAsia"/>
        </w:rPr>
        <w:t>工器具</w:t>
      </w:r>
    </w:p>
    <w:p w14:paraId="286A2AD9">
      <w:pPr>
        <w:pStyle w:val="154"/>
      </w:pPr>
      <w:r>
        <w:rPr>
          <w:rFonts w:hint="eastAsia"/>
        </w:rPr>
        <w:t>应根据生产需要配置适宜的工器具。</w:t>
      </w:r>
    </w:p>
    <w:p w14:paraId="0BFA8C72">
      <w:pPr>
        <w:pStyle w:val="154"/>
      </w:pPr>
      <w:r>
        <w:rPr>
          <w:rFonts w:hint="eastAsia"/>
        </w:rPr>
        <w:t>工器具应使用无毒、无味、抗腐蚀、不易脱落的材料制作，并应易于清洁和保养。在正常使用情况下，不会与生产物料、清洁剂和消毒剂发生反应，并应保持完好无损。</w:t>
      </w:r>
    </w:p>
    <w:p w14:paraId="25EA9B13">
      <w:pPr>
        <w:pStyle w:val="154"/>
      </w:pPr>
      <w:r>
        <w:rPr>
          <w:rFonts w:hint="eastAsia"/>
        </w:rPr>
        <w:t>工器具使用后应及时进行清洗、消毒、晾干，并储存于适宜的场所。</w:t>
      </w:r>
    </w:p>
    <w:p w14:paraId="344C0171">
      <w:pPr>
        <w:pStyle w:val="148"/>
        <w:spacing w:before="312" w:after="312"/>
      </w:pPr>
      <w:r>
        <w:rPr>
          <w:rFonts w:hint="eastAsia"/>
        </w:rPr>
        <w:t>卫生管理</w:t>
      </w:r>
    </w:p>
    <w:p w14:paraId="62E02836">
      <w:pPr>
        <w:pStyle w:val="149"/>
        <w:spacing w:before="156" w:after="156"/>
      </w:pPr>
      <w:r>
        <w:rPr>
          <w:rFonts w:hint="eastAsia"/>
        </w:rPr>
        <w:t>卫生管理制度</w:t>
      </w:r>
    </w:p>
    <w:p w14:paraId="4C73897E">
      <w:pPr>
        <w:pStyle w:val="153"/>
        <w:numPr>
          <w:ilvl w:val="2"/>
          <w:numId w:val="0"/>
        </w:numPr>
        <w:ind w:left="158" w:leftChars="75" w:firstLine="157" w:firstLineChars="75"/>
      </w:pPr>
      <w:r>
        <w:rPr>
          <w:rFonts w:hint="eastAsia"/>
        </w:rPr>
        <w:t>应符合GB 14881中6.1的规定。</w:t>
      </w:r>
    </w:p>
    <w:p w14:paraId="076E7381">
      <w:pPr>
        <w:pStyle w:val="149"/>
        <w:spacing w:before="156" w:after="156"/>
      </w:pPr>
      <w:r>
        <w:rPr>
          <w:rFonts w:hint="eastAsia"/>
        </w:rPr>
        <w:t>厂房及设施卫生管理</w:t>
      </w:r>
    </w:p>
    <w:p w14:paraId="3351CF57">
      <w:pPr>
        <w:pStyle w:val="153"/>
        <w:numPr>
          <w:ilvl w:val="2"/>
          <w:numId w:val="0"/>
        </w:numPr>
        <w:ind w:left="158" w:leftChars="75" w:firstLine="157" w:firstLineChars="75"/>
      </w:pPr>
      <w:r>
        <w:rPr>
          <w:rFonts w:hint="eastAsia"/>
        </w:rPr>
        <w:t>应符合GB 14881中6.2的规定。</w:t>
      </w:r>
    </w:p>
    <w:p w14:paraId="648C0E47">
      <w:pPr>
        <w:pStyle w:val="149"/>
        <w:spacing w:before="156" w:after="156"/>
      </w:pPr>
      <w:r>
        <w:rPr>
          <w:rFonts w:hint="eastAsia"/>
        </w:rPr>
        <w:t>食品加工人员健康管理与卫生要求</w:t>
      </w:r>
    </w:p>
    <w:p w14:paraId="6C0C932E">
      <w:pPr>
        <w:pStyle w:val="155"/>
        <w:numPr>
          <w:ilvl w:val="0"/>
          <w:numId w:val="27"/>
        </w:numPr>
        <w:tabs>
          <w:tab w:val="left" w:pos="840"/>
        </w:tabs>
        <w:ind w:left="850" w:hanging="425"/>
      </w:pPr>
      <w:r>
        <w:rPr>
          <w:rFonts w:hint="eastAsia"/>
        </w:rPr>
        <w:t>食品加工人员健康管理 应符合GB 14881中6.3.1的规定和国家相关法律法规的要求；</w:t>
      </w:r>
    </w:p>
    <w:p w14:paraId="3977404D">
      <w:pPr>
        <w:pStyle w:val="155"/>
        <w:numPr>
          <w:ilvl w:val="0"/>
          <w:numId w:val="27"/>
        </w:numPr>
        <w:tabs>
          <w:tab w:val="left" w:pos="840"/>
        </w:tabs>
        <w:ind w:left="850" w:hanging="425"/>
      </w:pPr>
      <w:r>
        <w:rPr>
          <w:rFonts w:hint="eastAsia"/>
        </w:rPr>
        <w:t>食品加工人员卫生要求 应符合GB 114881中6.3.2的要求；</w:t>
      </w:r>
    </w:p>
    <w:p w14:paraId="2EEA95BA">
      <w:pPr>
        <w:pStyle w:val="155"/>
        <w:numPr>
          <w:ilvl w:val="0"/>
          <w:numId w:val="27"/>
        </w:numPr>
        <w:tabs>
          <w:tab w:val="left" w:pos="840"/>
        </w:tabs>
        <w:ind w:left="851" w:hanging="426"/>
      </w:pPr>
      <w:r>
        <w:rPr>
          <w:rFonts w:hint="eastAsia"/>
        </w:rPr>
        <w:t>来访者 应符合GB 14881中6.3.3的规定。</w:t>
      </w:r>
    </w:p>
    <w:p w14:paraId="787ECC8B">
      <w:pPr>
        <w:pStyle w:val="149"/>
        <w:spacing w:before="156" w:after="156"/>
      </w:pPr>
      <w:r>
        <w:rPr>
          <w:rFonts w:hint="eastAsia"/>
        </w:rPr>
        <w:t>虫（鼠）害控制</w:t>
      </w:r>
    </w:p>
    <w:p w14:paraId="3379F7BE">
      <w:pPr>
        <w:pStyle w:val="155"/>
        <w:numPr>
          <w:ilvl w:val="0"/>
          <w:numId w:val="28"/>
        </w:numPr>
        <w:tabs>
          <w:tab w:val="left" w:pos="840"/>
        </w:tabs>
        <w:ind w:left="851" w:hanging="426"/>
      </w:pPr>
      <w:r>
        <w:rPr>
          <w:rFonts w:hint="eastAsia"/>
        </w:rPr>
        <w:t>应符合GB 14881中6.4的规定；</w:t>
      </w:r>
    </w:p>
    <w:p w14:paraId="6922089E">
      <w:pPr>
        <w:pStyle w:val="155"/>
        <w:numPr>
          <w:ilvl w:val="0"/>
          <w:numId w:val="28"/>
        </w:numPr>
        <w:tabs>
          <w:tab w:val="left" w:pos="840"/>
        </w:tabs>
        <w:ind w:left="851" w:hanging="426"/>
      </w:pPr>
      <w:r>
        <w:rPr>
          <w:rFonts w:hint="eastAsia"/>
        </w:rPr>
        <w:t>生产车间及与生产活动相关的场所，禁止使用各种杀虫剂或其他药剂。</w:t>
      </w:r>
    </w:p>
    <w:p w14:paraId="59B17202">
      <w:pPr>
        <w:pStyle w:val="149"/>
        <w:spacing w:before="156" w:after="156"/>
      </w:pPr>
      <w:r>
        <w:rPr>
          <w:rFonts w:hint="eastAsia"/>
        </w:rPr>
        <w:t>废弃物及副产品的处理</w:t>
      </w:r>
    </w:p>
    <w:p w14:paraId="076FA40D">
      <w:pPr>
        <w:pStyle w:val="153"/>
        <w:numPr>
          <w:ilvl w:val="2"/>
          <w:numId w:val="0"/>
        </w:numPr>
        <w:ind w:left="158" w:leftChars="75" w:firstLine="157" w:firstLineChars="75"/>
      </w:pPr>
      <w:r>
        <w:rPr>
          <w:rFonts w:hint="eastAsia"/>
        </w:rPr>
        <w:t>应符合GB 14881中6.5的规定。</w:t>
      </w:r>
    </w:p>
    <w:p w14:paraId="60F53AB9">
      <w:pPr>
        <w:pStyle w:val="149"/>
        <w:spacing w:before="156" w:after="156"/>
      </w:pPr>
      <w:r>
        <w:rPr>
          <w:rFonts w:hint="eastAsia"/>
        </w:rPr>
        <w:t>卫生设施管理</w:t>
      </w:r>
    </w:p>
    <w:p w14:paraId="3ADAA74B">
      <w:pPr>
        <w:pStyle w:val="153"/>
        <w:numPr>
          <w:ilvl w:val="2"/>
          <w:numId w:val="0"/>
        </w:numPr>
        <w:ind w:left="158" w:leftChars="75" w:firstLine="157" w:firstLineChars="75"/>
      </w:pPr>
      <w:r>
        <w:rPr>
          <w:rFonts w:hint="eastAsia"/>
        </w:rPr>
        <w:t>卫生间、洗手消毒设施等卫生设施应专人定时清洁，保持卫生设施随时处于良好使用状态。</w:t>
      </w:r>
    </w:p>
    <w:p w14:paraId="7150CB26">
      <w:pPr>
        <w:pStyle w:val="149"/>
        <w:spacing w:before="156" w:after="156"/>
      </w:pPr>
      <w:r>
        <w:rPr>
          <w:rFonts w:hint="eastAsia"/>
        </w:rPr>
        <w:t>工作服管理</w:t>
      </w:r>
    </w:p>
    <w:p w14:paraId="438E6804">
      <w:pPr>
        <w:pStyle w:val="153"/>
        <w:numPr>
          <w:ilvl w:val="2"/>
          <w:numId w:val="0"/>
        </w:numPr>
        <w:ind w:left="158" w:leftChars="75" w:firstLine="157" w:firstLineChars="75"/>
      </w:pPr>
      <w:r>
        <w:rPr>
          <w:rFonts w:hint="eastAsia"/>
        </w:rPr>
        <w:t>应符合GB 14881中6.6的规定。</w:t>
      </w:r>
    </w:p>
    <w:p w14:paraId="49393AFE">
      <w:pPr>
        <w:pStyle w:val="149"/>
        <w:spacing w:before="156" w:after="156"/>
      </w:pPr>
      <w:r>
        <w:rPr>
          <w:rFonts w:hint="eastAsia"/>
        </w:rPr>
        <w:t>清洗与消毒</w:t>
      </w:r>
    </w:p>
    <w:p w14:paraId="3398FE70">
      <w:pPr>
        <w:pStyle w:val="155"/>
        <w:numPr>
          <w:ilvl w:val="0"/>
          <w:numId w:val="29"/>
        </w:numPr>
        <w:tabs>
          <w:tab w:val="left" w:pos="840"/>
        </w:tabs>
        <w:ind w:left="851" w:hanging="426"/>
      </w:pPr>
      <w:r>
        <w:rPr>
          <w:rFonts w:hint="eastAsia"/>
        </w:rPr>
        <w:t>不同作业区，应根据清洁度要求，制定适宜的清洗、消毒程序和制度；</w:t>
      </w:r>
    </w:p>
    <w:p w14:paraId="0F65D234">
      <w:pPr>
        <w:pStyle w:val="155"/>
        <w:numPr>
          <w:ilvl w:val="0"/>
          <w:numId w:val="29"/>
        </w:numPr>
        <w:tabs>
          <w:tab w:val="left" w:pos="840"/>
        </w:tabs>
        <w:ind w:left="851" w:hanging="426"/>
      </w:pPr>
      <w:r>
        <w:rPr>
          <w:rFonts w:hint="eastAsia"/>
        </w:rPr>
        <w:t>应配置相应的设备、设施和工器具的清洗、消毒设施，合理配置空气消毒设施，以确保生产场所、设备、管路、工器具等的清洁卫生，防止污染。必要时可根据生产需要配备充足热水源；</w:t>
      </w:r>
    </w:p>
    <w:p w14:paraId="503DBB41">
      <w:pPr>
        <w:pStyle w:val="155"/>
        <w:numPr>
          <w:ilvl w:val="0"/>
          <w:numId w:val="29"/>
        </w:numPr>
        <w:tabs>
          <w:tab w:val="left" w:pos="840"/>
        </w:tabs>
        <w:ind w:left="851" w:hanging="426"/>
      </w:pPr>
      <w:r>
        <w:rPr>
          <w:rFonts w:hint="eastAsia"/>
        </w:rPr>
        <w:t>使用的洗涤剂、消毒剂应符合GB 14930.1、GB 14930.2的规定。使用清洗剂和消毒剂时，应采取适当措施，以防止人身伤害的发生及原辅料、半成品、成品等污染事件的发生；</w:t>
      </w:r>
    </w:p>
    <w:p w14:paraId="6B458673">
      <w:pPr>
        <w:pStyle w:val="155"/>
        <w:numPr>
          <w:ilvl w:val="0"/>
          <w:numId w:val="29"/>
        </w:numPr>
        <w:tabs>
          <w:tab w:val="left" w:pos="840"/>
        </w:tabs>
        <w:ind w:left="851" w:hanging="426"/>
      </w:pPr>
      <w:r>
        <w:rPr>
          <w:rFonts w:hint="eastAsia"/>
        </w:rPr>
        <w:t>与原辅料、半成品等物料接触的设备、仪器、管道及工器具等使用前后应及时清洗，必要时进行消毒处理。</w:t>
      </w:r>
    </w:p>
    <w:p w14:paraId="6543E1CF">
      <w:pPr>
        <w:pStyle w:val="148"/>
        <w:spacing w:before="312" w:after="312"/>
      </w:pPr>
      <w:r>
        <w:rPr>
          <w:rFonts w:hint="eastAsia"/>
        </w:rPr>
        <w:t>食品原辅料和食品相关产品</w:t>
      </w:r>
    </w:p>
    <w:p w14:paraId="783AC219">
      <w:pPr>
        <w:pStyle w:val="149"/>
        <w:spacing w:before="156" w:after="156"/>
      </w:pPr>
      <w:r>
        <w:rPr>
          <w:rFonts w:hint="eastAsia"/>
        </w:rPr>
        <w:t>一般要求</w:t>
      </w:r>
    </w:p>
    <w:p w14:paraId="01353B9C">
      <w:pPr>
        <w:pStyle w:val="153"/>
        <w:numPr>
          <w:ilvl w:val="2"/>
          <w:numId w:val="0"/>
        </w:numPr>
        <w:ind w:left="158" w:leftChars="75" w:firstLine="157" w:firstLineChars="75"/>
      </w:pPr>
      <w:r>
        <w:rPr>
          <w:rFonts w:hint="eastAsia"/>
        </w:rPr>
        <w:t>应符合GB 14881中7.1的规定。</w:t>
      </w:r>
    </w:p>
    <w:p w14:paraId="723C9354">
      <w:pPr>
        <w:pStyle w:val="149"/>
        <w:spacing w:before="156" w:after="156"/>
      </w:pPr>
      <w:r>
        <w:rPr>
          <w:rFonts w:hint="eastAsia"/>
        </w:rPr>
        <w:t>原料要求</w:t>
      </w:r>
    </w:p>
    <w:p w14:paraId="18ECFE8C">
      <w:pPr>
        <w:pStyle w:val="153"/>
        <w:numPr>
          <w:ilvl w:val="2"/>
          <w:numId w:val="0"/>
        </w:numPr>
        <w:ind w:left="158" w:leftChars="75" w:firstLine="157" w:firstLineChars="75"/>
      </w:pPr>
      <w:r>
        <w:rPr>
          <w:rFonts w:hint="eastAsia"/>
        </w:rPr>
        <w:t>原料应符合GB 2707的要求。</w:t>
      </w:r>
    </w:p>
    <w:p w14:paraId="56EDF7A2">
      <w:pPr>
        <w:pStyle w:val="149"/>
        <w:spacing w:before="156" w:after="156"/>
      </w:pPr>
      <w:r>
        <w:rPr>
          <w:rFonts w:hint="eastAsia"/>
        </w:rPr>
        <w:t>辅料要求</w:t>
      </w:r>
    </w:p>
    <w:p w14:paraId="0241D33A">
      <w:pPr>
        <w:pStyle w:val="153"/>
        <w:numPr>
          <w:ilvl w:val="2"/>
          <w:numId w:val="0"/>
        </w:numPr>
        <w:ind w:left="158" w:leftChars="75" w:firstLine="157" w:firstLineChars="75"/>
      </w:pPr>
      <w:r>
        <w:rPr>
          <w:rFonts w:hint="eastAsia"/>
        </w:rPr>
        <w:t>食用盐应符合GB 2721或GB/T 5461的要求。</w:t>
      </w:r>
    </w:p>
    <w:p w14:paraId="32511596">
      <w:pPr>
        <w:pStyle w:val="149"/>
        <w:spacing w:before="156" w:after="156"/>
      </w:pPr>
      <w:r>
        <w:rPr>
          <w:rFonts w:hint="eastAsia"/>
        </w:rPr>
        <w:t>食品相关产品</w:t>
      </w:r>
    </w:p>
    <w:p w14:paraId="6BB5FA34">
      <w:pPr>
        <w:pStyle w:val="153"/>
        <w:numPr>
          <w:ilvl w:val="2"/>
          <w:numId w:val="0"/>
        </w:numPr>
        <w:ind w:left="158" w:leftChars="75" w:firstLine="157" w:firstLineChars="75"/>
      </w:pPr>
      <w:r>
        <w:rPr>
          <w:rFonts w:hint="eastAsia"/>
        </w:rPr>
        <w:t>应符合 GB 14881中7.4的规定。</w:t>
      </w:r>
    </w:p>
    <w:p w14:paraId="3F4C7E26">
      <w:pPr>
        <w:pStyle w:val="149"/>
        <w:spacing w:before="156" w:after="156"/>
      </w:pPr>
      <w:r>
        <w:rPr>
          <w:rFonts w:hint="eastAsia"/>
        </w:rPr>
        <w:t>化学品管理</w:t>
      </w:r>
    </w:p>
    <w:p w14:paraId="749048F3">
      <w:pPr>
        <w:pStyle w:val="155"/>
        <w:numPr>
          <w:ilvl w:val="0"/>
          <w:numId w:val="30"/>
        </w:numPr>
        <w:tabs>
          <w:tab w:val="left" w:pos="840"/>
        </w:tabs>
        <w:ind w:left="851" w:hanging="426"/>
      </w:pPr>
      <w:r>
        <w:rPr>
          <w:rFonts w:hint="eastAsia"/>
        </w:rPr>
        <w:t>清洗剂、消毒剂以及其他化学品均应有固定包装，并在明显处标示“危害品”字样，储存于专门库房或橱柜内，加锁并由专人负责保管，建立保存和使用管理制度；</w:t>
      </w:r>
    </w:p>
    <w:p w14:paraId="5E4B879D">
      <w:pPr>
        <w:pStyle w:val="155"/>
        <w:numPr>
          <w:ilvl w:val="0"/>
          <w:numId w:val="30"/>
        </w:numPr>
        <w:tabs>
          <w:tab w:val="left" w:pos="840"/>
        </w:tabs>
        <w:ind w:left="851" w:hanging="426"/>
        <w:rPr>
          <w:rFonts w:ascii="黑体" w:eastAsia="黑体"/>
        </w:rPr>
      </w:pPr>
      <w:r>
        <w:rPr>
          <w:rFonts w:hint="eastAsia"/>
        </w:rPr>
        <w:t>清洗剂、消毒剂以及其他化学品应由经培训考核合格的人员按照说明进行使用，防止污染和人身中毒；</w:t>
      </w:r>
    </w:p>
    <w:p w14:paraId="129E7D43">
      <w:pPr>
        <w:pStyle w:val="155"/>
        <w:numPr>
          <w:ilvl w:val="0"/>
          <w:numId w:val="30"/>
        </w:numPr>
        <w:tabs>
          <w:tab w:val="left" w:pos="840"/>
        </w:tabs>
        <w:ind w:left="851" w:hanging="426"/>
      </w:pPr>
      <w:r>
        <w:rPr>
          <w:rFonts w:hint="eastAsia"/>
        </w:rPr>
        <w:t>除清洁消毒处理及其他特殊处理，生产车间及相关场所不应使用和存放可能污染的化学品。</w:t>
      </w:r>
    </w:p>
    <w:p w14:paraId="6538240B">
      <w:pPr>
        <w:pStyle w:val="149"/>
        <w:spacing w:before="156" w:after="156"/>
      </w:pPr>
      <w:r>
        <w:rPr>
          <w:rFonts w:hint="eastAsia"/>
        </w:rPr>
        <w:t>其他</w:t>
      </w:r>
    </w:p>
    <w:p w14:paraId="35CB9662">
      <w:pPr>
        <w:pStyle w:val="153"/>
        <w:numPr>
          <w:ilvl w:val="2"/>
          <w:numId w:val="0"/>
        </w:numPr>
        <w:ind w:left="158" w:leftChars="75" w:firstLine="157" w:firstLineChars="75"/>
      </w:pPr>
      <w:r>
        <w:rPr>
          <w:rFonts w:hint="eastAsia"/>
        </w:rPr>
        <w:t>应符合GB 14881中7.5的规定。</w:t>
      </w:r>
    </w:p>
    <w:p w14:paraId="5E550604">
      <w:pPr>
        <w:pStyle w:val="148"/>
        <w:spacing w:before="312" w:after="312"/>
      </w:pPr>
      <w:r>
        <w:rPr>
          <w:rFonts w:hint="eastAsia"/>
        </w:rPr>
        <w:t>生产过程管理</w:t>
      </w:r>
    </w:p>
    <w:p w14:paraId="7ED4AE2D">
      <w:pPr>
        <w:pStyle w:val="149"/>
        <w:spacing w:before="156" w:after="156"/>
      </w:pPr>
      <w:r>
        <w:rPr>
          <w:rFonts w:hint="eastAsia"/>
        </w:rPr>
        <w:t>总体要求</w:t>
      </w:r>
    </w:p>
    <w:p w14:paraId="402AF5AD">
      <w:pPr>
        <w:pStyle w:val="154"/>
      </w:pPr>
      <w:r>
        <w:rPr>
          <w:rFonts w:hint="eastAsia"/>
        </w:rPr>
        <w:t>建立生产工艺与卫生操作规范/指导书，明确过程操作规范，由专人负责管理。</w:t>
      </w:r>
    </w:p>
    <w:p w14:paraId="4B1FB51B">
      <w:pPr>
        <w:pStyle w:val="154"/>
      </w:pPr>
      <w:r>
        <w:rPr>
          <w:rFonts w:hint="eastAsia"/>
        </w:rPr>
        <w:t>生产过程应做好记录，并规定记录存留时间，负责人需定期对记录进行审核。</w:t>
      </w:r>
    </w:p>
    <w:p w14:paraId="1A739CAF">
      <w:pPr>
        <w:pStyle w:val="149"/>
        <w:spacing w:before="156" w:after="156"/>
      </w:pPr>
      <w:r>
        <w:rPr>
          <w:rFonts w:hint="eastAsia"/>
        </w:rPr>
        <w:t>生产工艺</w:t>
      </w:r>
    </w:p>
    <w:p w14:paraId="604EB12D">
      <w:pPr>
        <w:pStyle w:val="153"/>
        <w:numPr>
          <w:ilvl w:val="2"/>
          <w:numId w:val="0"/>
        </w:numPr>
        <w:ind w:left="158" w:leftChars="75" w:firstLine="157" w:firstLineChars="75"/>
      </w:pPr>
      <w:r>
        <w:rPr>
          <w:rFonts w:hint="eastAsia"/>
        </w:rPr>
        <w:t>选料验收→盘腿修坯→腌制→堆码翻压→洗腿整形→上挂风干→发酵熟化→包装→入库</w:t>
      </w:r>
    </w:p>
    <w:p w14:paraId="45EFEFC0">
      <w:pPr>
        <w:pStyle w:val="149"/>
        <w:spacing w:before="156" w:after="156"/>
      </w:pPr>
      <w:r>
        <w:rPr>
          <w:rFonts w:hint="eastAsia"/>
        </w:rPr>
        <w:t>过程控制</w:t>
      </w:r>
    </w:p>
    <w:p w14:paraId="20CD81E0">
      <w:pPr>
        <w:pStyle w:val="154"/>
      </w:pPr>
      <w:r>
        <w:rPr>
          <w:rFonts w:hint="eastAsia"/>
        </w:rPr>
        <w:t>选料验收</w:t>
      </w:r>
    </w:p>
    <w:p w14:paraId="06FC4226">
      <w:pPr>
        <w:pStyle w:val="153"/>
        <w:numPr>
          <w:ilvl w:val="2"/>
          <w:numId w:val="0"/>
        </w:numPr>
        <w:ind w:left="158" w:leftChars="75" w:firstLine="157" w:firstLineChars="75"/>
      </w:pPr>
      <w:r>
        <w:rPr>
          <w:rFonts w:hint="eastAsia"/>
        </w:rPr>
        <w:t>选择脂肪少、皮薄、肉嫩、瘦肉多，适于腌制加工、健康无病的生猪，腿部有伤斑及患皮肤病、伤猪均不宜加工。猪腿要求腿心丰满、皮质新鲜、瘦肉鲜红，肥肉洁白的后腿，每个猪腿重量以6-10千克为宜。</w:t>
      </w:r>
    </w:p>
    <w:p w14:paraId="16826221">
      <w:pPr>
        <w:pStyle w:val="154"/>
      </w:pPr>
      <w:r>
        <w:rPr>
          <w:rFonts w:hint="eastAsia"/>
        </w:rPr>
        <w:t>盘腿修坯</w:t>
      </w:r>
    </w:p>
    <w:p w14:paraId="22FB59EA">
      <w:pPr>
        <w:pStyle w:val="153"/>
        <w:numPr>
          <w:ilvl w:val="2"/>
          <w:numId w:val="0"/>
        </w:numPr>
        <w:ind w:left="158" w:leftChars="75" w:firstLine="157" w:firstLineChars="75"/>
      </w:pPr>
      <w:r>
        <w:rPr>
          <w:rFonts w:hint="eastAsia"/>
        </w:rPr>
        <w:t>腿肉平放于操作台上，用刀削去过于隆起的骨节，将腿皮割成半月形，使肌肉露出腿皮。并割去肉面上油筋、油膜，不要损伤肌肉，把两边多余的肥肉和腿皮削平，使</w:t>
      </w:r>
      <w:bookmarkStart w:id="36" w:name="OLE_LINK7"/>
      <w:r>
        <w:rPr>
          <w:rFonts w:hint="eastAsia"/>
        </w:rPr>
        <w:t>腿呈“竹叶形”，用力挤压腿肉，使血管内的淤血充分排出</w:t>
      </w:r>
      <w:bookmarkEnd w:id="36"/>
      <w:r>
        <w:rPr>
          <w:rFonts w:hint="eastAsia"/>
        </w:rPr>
        <w:t>，得到修整好的猪腿肉。</w:t>
      </w:r>
    </w:p>
    <w:p w14:paraId="1FB53C41">
      <w:pPr>
        <w:pStyle w:val="154"/>
      </w:pPr>
      <w:r>
        <w:rPr>
          <w:rFonts w:hint="eastAsia"/>
        </w:rPr>
        <w:t>腌制</w:t>
      </w:r>
    </w:p>
    <w:p w14:paraId="06D53FB7">
      <w:pPr>
        <w:pStyle w:val="155"/>
        <w:numPr>
          <w:ilvl w:val="0"/>
          <w:numId w:val="31"/>
        </w:numPr>
        <w:tabs>
          <w:tab w:val="left" w:pos="840"/>
        </w:tabs>
        <w:ind w:left="851" w:hanging="426"/>
      </w:pPr>
      <w:r>
        <w:rPr>
          <w:rFonts w:hint="eastAsia"/>
        </w:rPr>
        <w:t>腌制的目的是使腿肉脱水、防腐和调味，用盐量为腿重的9%-10%，分4次均匀抹盐；</w:t>
      </w:r>
    </w:p>
    <w:p w14:paraId="3DFA0880">
      <w:pPr>
        <w:pStyle w:val="155"/>
        <w:numPr>
          <w:ilvl w:val="0"/>
          <w:numId w:val="31"/>
        </w:numPr>
        <w:tabs>
          <w:tab w:val="left" w:pos="840"/>
        </w:tabs>
        <w:ind w:left="851" w:hanging="426"/>
      </w:pPr>
      <w:r>
        <w:rPr>
          <w:rFonts w:hint="eastAsia"/>
        </w:rPr>
        <w:t>第1次抹盐占用盐总量的20%，先把腿爪和腿皮抹少许盐，再把盐均匀抹在肌肉上，然后用手擦，抹完后以肉面朝上重叠堆放，各层用竹条隔开，堆放时间为2天；</w:t>
      </w:r>
    </w:p>
    <w:p w14:paraId="3C24F91B">
      <w:pPr>
        <w:pStyle w:val="155"/>
        <w:numPr>
          <w:ilvl w:val="0"/>
          <w:numId w:val="31"/>
        </w:numPr>
        <w:tabs>
          <w:tab w:val="left" w:pos="840"/>
        </w:tabs>
        <w:ind w:left="851" w:hanging="426"/>
      </w:pPr>
      <w:r>
        <w:rPr>
          <w:rFonts w:hint="eastAsia"/>
        </w:rPr>
        <w:t>第2次抹盐占用盐总量的60%，应在耻骨及大腿上部的肌肉厚处抹厚盐，目的是使盐迅速渗入肌肉厚处，同样重叠堆放起来，堆放时间为3天；</w:t>
      </w:r>
    </w:p>
    <w:p w14:paraId="71755C25">
      <w:pPr>
        <w:pStyle w:val="155"/>
        <w:numPr>
          <w:ilvl w:val="0"/>
          <w:numId w:val="31"/>
        </w:numPr>
        <w:tabs>
          <w:tab w:val="left" w:pos="840"/>
        </w:tabs>
        <w:ind w:left="851" w:hanging="426"/>
      </w:pPr>
      <w:r>
        <w:rPr>
          <w:rFonts w:hint="eastAsia"/>
        </w:rPr>
        <w:t>第3次抹盐占用盐总量的15%，重点抹在骨节部分，其余部分酌情添加，堆放时间为5天；</w:t>
      </w:r>
    </w:p>
    <w:p w14:paraId="3E5CE164">
      <w:pPr>
        <w:pStyle w:val="155"/>
        <w:numPr>
          <w:ilvl w:val="0"/>
          <w:numId w:val="31"/>
        </w:numPr>
        <w:tabs>
          <w:tab w:val="left" w:pos="840"/>
        </w:tabs>
        <w:ind w:left="851" w:hanging="426"/>
      </w:pPr>
      <w:r>
        <w:rPr>
          <w:rFonts w:hint="eastAsia"/>
        </w:rPr>
        <w:t>第4次抹盐占用盐总量的5%，主要是对骨节补盐，堆放时间为12天。在每次用盐后堆放时需上下调换，使受压均衡，滴下的盐水要及时倒掉；</w:t>
      </w:r>
    </w:p>
    <w:p w14:paraId="0C3F8D2D">
      <w:pPr>
        <w:pStyle w:val="155"/>
        <w:numPr>
          <w:ilvl w:val="0"/>
          <w:numId w:val="31"/>
        </w:numPr>
        <w:tabs>
          <w:tab w:val="left" w:pos="840"/>
        </w:tabs>
        <w:ind w:left="851" w:hanging="426"/>
      </w:pPr>
      <w:r>
        <w:rPr>
          <w:rFonts w:hint="eastAsia"/>
        </w:rPr>
        <w:t>腌制时间为当年11月至次年4月。</w:t>
      </w:r>
    </w:p>
    <w:p w14:paraId="7D17B4A3">
      <w:pPr>
        <w:pStyle w:val="154"/>
      </w:pPr>
      <w:r>
        <w:rPr>
          <w:rFonts w:hint="eastAsia"/>
        </w:rPr>
        <w:t>堆码翻压</w:t>
      </w:r>
    </w:p>
    <w:p w14:paraId="1179C163">
      <w:pPr>
        <w:pStyle w:val="153"/>
        <w:numPr>
          <w:ilvl w:val="2"/>
          <w:numId w:val="0"/>
        </w:numPr>
        <w:ind w:left="158" w:leftChars="75" w:firstLine="157" w:firstLineChars="75"/>
      </w:pPr>
      <w:r>
        <w:rPr>
          <w:rFonts w:hint="eastAsia"/>
        </w:rPr>
        <w:t>盐腌后将火腿按一定顺序堆放，翻换腌腿脚压住下层腿部血筋，排出淤血。</w:t>
      </w:r>
    </w:p>
    <w:p w14:paraId="06FCA34C">
      <w:pPr>
        <w:pStyle w:val="154"/>
      </w:pPr>
      <w:r>
        <w:rPr>
          <w:rFonts w:hint="eastAsia"/>
        </w:rPr>
        <w:t>洗腿整形</w:t>
      </w:r>
    </w:p>
    <w:p w14:paraId="25115428">
      <w:pPr>
        <w:pStyle w:val="153"/>
        <w:numPr>
          <w:ilvl w:val="2"/>
          <w:numId w:val="0"/>
        </w:numPr>
        <w:ind w:left="158" w:leftChars="75" w:firstLine="157" w:firstLineChars="75"/>
      </w:pPr>
      <w:r>
        <w:rPr>
          <w:rFonts w:hint="eastAsia"/>
        </w:rPr>
        <w:t>将腌制后的腿放在清水中浸泡漂洗，清除肌肉表面的盐分和油垢，然后进行修整。</w:t>
      </w:r>
    </w:p>
    <w:p w14:paraId="24D64931">
      <w:pPr>
        <w:pStyle w:val="154"/>
      </w:pPr>
      <w:r>
        <w:rPr>
          <w:rFonts w:hint="eastAsia"/>
        </w:rPr>
        <w:t>上挂风干</w:t>
      </w:r>
    </w:p>
    <w:p w14:paraId="4BC29B4A">
      <w:pPr>
        <w:pStyle w:val="153"/>
        <w:numPr>
          <w:ilvl w:val="2"/>
          <w:numId w:val="0"/>
        </w:numPr>
        <w:ind w:left="158" w:leftChars="75" w:firstLine="157" w:firstLineChars="75"/>
      </w:pPr>
      <w:r>
        <w:rPr>
          <w:rFonts w:hint="eastAsia"/>
        </w:rPr>
        <w:t>将腌腿拴挂在架子上晾晒3-4天，期间避免阳光直射。</w:t>
      </w:r>
    </w:p>
    <w:p w14:paraId="03CC5275">
      <w:pPr>
        <w:pStyle w:val="154"/>
      </w:pPr>
      <w:r>
        <w:rPr>
          <w:rFonts w:hint="eastAsia"/>
        </w:rPr>
        <w:t>发酵熟化</w:t>
      </w:r>
    </w:p>
    <w:p w14:paraId="50840D8C">
      <w:pPr>
        <w:pStyle w:val="153"/>
        <w:numPr>
          <w:ilvl w:val="2"/>
          <w:numId w:val="0"/>
        </w:numPr>
        <w:ind w:left="158" w:leftChars="75" w:firstLine="157" w:firstLineChars="75"/>
      </w:pPr>
      <w:r>
        <w:rPr>
          <w:rFonts w:hint="eastAsia"/>
        </w:rPr>
        <w:t>应符合 T/MNHT0001中附录B中B.1.5的规定。</w:t>
      </w:r>
    </w:p>
    <w:p w14:paraId="750892CA">
      <w:pPr>
        <w:pStyle w:val="154"/>
      </w:pPr>
      <w:r>
        <w:rPr>
          <w:rFonts w:hint="eastAsia"/>
        </w:rPr>
        <w:t>包装</w:t>
      </w:r>
    </w:p>
    <w:p w14:paraId="64F454E7">
      <w:pPr>
        <w:pStyle w:val="153"/>
        <w:numPr>
          <w:ilvl w:val="2"/>
          <w:numId w:val="0"/>
        </w:numPr>
        <w:ind w:left="158" w:leftChars="75" w:firstLine="157" w:firstLineChars="75"/>
      </w:pPr>
      <w:r>
        <w:rPr>
          <w:rFonts w:hint="eastAsia"/>
        </w:rPr>
        <w:t>经检验合格的火腿，按照相应包装要求进行封口包装。</w:t>
      </w:r>
    </w:p>
    <w:p w14:paraId="0C6A1623">
      <w:pPr>
        <w:pStyle w:val="148"/>
        <w:spacing w:before="312" w:after="312"/>
      </w:pPr>
      <w:r>
        <w:rPr>
          <w:rFonts w:hint="eastAsia"/>
        </w:rPr>
        <w:t>生产过程的食品安全控制</w:t>
      </w:r>
    </w:p>
    <w:p w14:paraId="5CDFE5A0">
      <w:pPr>
        <w:pStyle w:val="153"/>
        <w:numPr>
          <w:ilvl w:val="2"/>
          <w:numId w:val="0"/>
        </w:numPr>
        <w:ind w:left="158" w:leftChars="75" w:firstLine="157" w:firstLineChars="75"/>
      </w:pPr>
      <w:r>
        <w:rPr>
          <w:rFonts w:hint="eastAsia"/>
        </w:rPr>
        <w:t>与生产过程食品安全控制相关的产品污染风险、生物污染、化学污染、物理污染的控制，以及包装的要求应符合GB 14881中第8章的规定。</w:t>
      </w:r>
    </w:p>
    <w:p w14:paraId="14790BB6">
      <w:pPr>
        <w:pStyle w:val="148"/>
        <w:spacing w:before="312" w:after="312"/>
      </w:pPr>
      <w:r>
        <w:rPr>
          <w:rFonts w:hint="eastAsia"/>
        </w:rPr>
        <w:t>成品技术要求</w:t>
      </w:r>
    </w:p>
    <w:p w14:paraId="02C2FDC4">
      <w:pPr>
        <w:pStyle w:val="149"/>
        <w:spacing w:before="156" w:after="156"/>
      </w:pPr>
      <w:r>
        <w:rPr>
          <w:rFonts w:hint="eastAsia"/>
        </w:rPr>
        <w:t>感官要求</w:t>
      </w:r>
    </w:p>
    <w:p w14:paraId="0D8E07F8">
      <w:pPr>
        <w:pStyle w:val="153"/>
        <w:numPr>
          <w:ilvl w:val="2"/>
          <w:numId w:val="0"/>
        </w:numPr>
        <w:ind w:left="158" w:leftChars="75" w:firstLine="157" w:firstLineChars="75"/>
      </w:pPr>
      <w:r>
        <w:rPr>
          <w:rFonts w:hint="eastAsia"/>
        </w:rPr>
        <w:t>感官指标应符合表1规定。</w:t>
      </w:r>
    </w:p>
    <w:p w14:paraId="1CD47EAE">
      <w:pPr>
        <w:spacing w:line="360" w:lineRule="auto"/>
        <w:ind w:firstLine="400" w:firstLineChars="200"/>
        <w:jc w:val="center"/>
        <w:rPr>
          <w:rFonts w:eastAsia="黑体"/>
          <w:sz w:val="20"/>
          <w:szCs w:val="20"/>
        </w:rPr>
      </w:pPr>
      <w:r>
        <w:rPr>
          <w:rFonts w:eastAsia="黑体"/>
          <w:sz w:val="20"/>
          <w:szCs w:val="20"/>
        </w:rPr>
        <w:t>表1</w:t>
      </w:r>
      <w:r>
        <w:rPr>
          <w:rFonts w:hint="eastAsia" w:eastAsia="黑体"/>
          <w:sz w:val="20"/>
          <w:szCs w:val="20"/>
        </w:rPr>
        <w:t xml:space="preserve"> 感官指标</w:t>
      </w:r>
    </w:p>
    <w:tbl>
      <w:tblPr>
        <w:tblStyle w:val="23"/>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049"/>
        <w:gridCol w:w="2803"/>
        <w:gridCol w:w="2809"/>
      </w:tblGrid>
      <w:tr w14:paraId="6BBC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Merge w:val="restart"/>
            <w:vAlign w:val="center"/>
          </w:tcPr>
          <w:p w14:paraId="1F0C8B91">
            <w:pPr>
              <w:spacing w:line="360" w:lineRule="auto"/>
              <w:jc w:val="center"/>
              <w:rPr>
                <w:sz w:val="20"/>
                <w:szCs w:val="20"/>
              </w:rPr>
            </w:pPr>
            <w:r>
              <w:rPr>
                <w:sz w:val="20"/>
                <w:szCs w:val="20"/>
              </w:rPr>
              <w:t>项目</w:t>
            </w:r>
          </w:p>
        </w:tc>
        <w:tc>
          <w:tcPr>
            <w:tcW w:w="8661" w:type="dxa"/>
            <w:gridSpan w:val="3"/>
            <w:vAlign w:val="center"/>
          </w:tcPr>
          <w:p w14:paraId="3F52EF8D">
            <w:pPr>
              <w:spacing w:line="360" w:lineRule="auto"/>
              <w:jc w:val="center"/>
              <w:rPr>
                <w:sz w:val="20"/>
                <w:szCs w:val="20"/>
              </w:rPr>
            </w:pPr>
            <w:r>
              <w:rPr>
                <w:sz w:val="20"/>
                <w:szCs w:val="20"/>
              </w:rPr>
              <w:t>要求</w:t>
            </w:r>
          </w:p>
        </w:tc>
      </w:tr>
      <w:tr w14:paraId="6AC3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Merge w:val="continue"/>
            <w:vAlign w:val="center"/>
          </w:tcPr>
          <w:p w14:paraId="42ECC7FF">
            <w:pPr>
              <w:spacing w:line="360" w:lineRule="auto"/>
              <w:jc w:val="center"/>
              <w:rPr>
                <w:sz w:val="20"/>
                <w:szCs w:val="20"/>
              </w:rPr>
            </w:pPr>
          </w:p>
        </w:tc>
        <w:tc>
          <w:tcPr>
            <w:tcW w:w="3049" w:type="dxa"/>
            <w:vAlign w:val="center"/>
          </w:tcPr>
          <w:p w14:paraId="10C15BEE">
            <w:pPr>
              <w:spacing w:line="360" w:lineRule="auto"/>
              <w:jc w:val="center"/>
              <w:rPr>
                <w:sz w:val="20"/>
                <w:szCs w:val="20"/>
              </w:rPr>
            </w:pPr>
            <w:r>
              <w:rPr>
                <w:sz w:val="20"/>
                <w:szCs w:val="20"/>
              </w:rPr>
              <w:t>特级</w:t>
            </w:r>
          </w:p>
        </w:tc>
        <w:tc>
          <w:tcPr>
            <w:tcW w:w="2803" w:type="dxa"/>
            <w:vAlign w:val="center"/>
          </w:tcPr>
          <w:p w14:paraId="64F06837">
            <w:pPr>
              <w:spacing w:line="360" w:lineRule="auto"/>
              <w:jc w:val="center"/>
              <w:rPr>
                <w:sz w:val="20"/>
                <w:szCs w:val="20"/>
              </w:rPr>
            </w:pPr>
            <w:r>
              <w:rPr>
                <w:sz w:val="20"/>
                <w:szCs w:val="20"/>
              </w:rPr>
              <w:t>一级</w:t>
            </w:r>
          </w:p>
        </w:tc>
        <w:tc>
          <w:tcPr>
            <w:tcW w:w="2809" w:type="dxa"/>
            <w:vAlign w:val="center"/>
          </w:tcPr>
          <w:p w14:paraId="75DAED01">
            <w:pPr>
              <w:spacing w:line="360" w:lineRule="auto"/>
              <w:jc w:val="center"/>
              <w:rPr>
                <w:sz w:val="20"/>
                <w:szCs w:val="20"/>
              </w:rPr>
            </w:pPr>
            <w:r>
              <w:rPr>
                <w:sz w:val="20"/>
                <w:szCs w:val="20"/>
              </w:rPr>
              <w:t>二级</w:t>
            </w:r>
          </w:p>
        </w:tc>
      </w:tr>
      <w:tr w14:paraId="4FAD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5E031FA9">
            <w:pPr>
              <w:spacing w:line="360" w:lineRule="auto"/>
              <w:jc w:val="center"/>
              <w:rPr>
                <w:sz w:val="20"/>
                <w:szCs w:val="20"/>
              </w:rPr>
            </w:pPr>
            <w:r>
              <w:rPr>
                <w:sz w:val="20"/>
                <w:szCs w:val="20"/>
              </w:rPr>
              <w:t>外观</w:t>
            </w:r>
          </w:p>
        </w:tc>
        <w:tc>
          <w:tcPr>
            <w:tcW w:w="3049" w:type="dxa"/>
            <w:vAlign w:val="center"/>
          </w:tcPr>
          <w:p w14:paraId="38E28E21">
            <w:pPr>
              <w:spacing w:line="360" w:lineRule="auto"/>
              <w:rPr>
                <w:sz w:val="20"/>
                <w:szCs w:val="20"/>
              </w:rPr>
            </w:pPr>
            <w:r>
              <w:rPr>
                <w:sz w:val="20"/>
                <w:szCs w:val="20"/>
              </w:rPr>
              <w:t>腿心饱满，皮薄，腿脚细，油头小，无毛，无损伤，无虫蛀、鼠伤，肉面无裂缝，皮与肉不分离，刀工光洁，皮面平整，印鉴标记明晰。</w:t>
            </w:r>
          </w:p>
        </w:tc>
        <w:tc>
          <w:tcPr>
            <w:tcW w:w="2803" w:type="dxa"/>
            <w:vAlign w:val="center"/>
          </w:tcPr>
          <w:p w14:paraId="66736BDE">
            <w:pPr>
              <w:spacing w:line="360" w:lineRule="auto"/>
              <w:rPr>
                <w:sz w:val="20"/>
                <w:szCs w:val="20"/>
              </w:rPr>
            </w:pPr>
            <w:r>
              <w:rPr>
                <w:sz w:val="20"/>
                <w:szCs w:val="20"/>
              </w:rPr>
              <w:t>腿心较饱满，皮薄脚小，无毛，无虫蛀、鼠伤，轻微红斑及损伤，肉面轻微裂缝，刀工光洁，皮面平整，印鉴标记明晰。</w:t>
            </w:r>
          </w:p>
        </w:tc>
        <w:tc>
          <w:tcPr>
            <w:tcW w:w="2809" w:type="dxa"/>
            <w:vAlign w:val="center"/>
          </w:tcPr>
          <w:p w14:paraId="74FE025B">
            <w:pPr>
              <w:spacing w:line="360" w:lineRule="auto"/>
              <w:rPr>
                <w:sz w:val="20"/>
                <w:szCs w:val="20"/>
              </w:rPr>
            </w:pPr>
            <w:r>
              <w:rPr>
                <w:sz w:val="20"/>
                <w:szCs w:val="20"/>
              </w:rPr>
              <w:t>腿心稍薄，但不露股骨头，腿脚稍粗，无毛，无虫蛀、鼠伤，刀工光洁，有红斑、损伤或裂缝，印鉴标记明晰。</w:t>
            </w:r>
          </w:p>
        </w:tc>
      </w:tr>
      <w:tr w14:paraId="0B6C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4689BFFC">
            <w:pPr>
              <w:spacing w:line="360" w:lineRule="auto"/>
              <w:jc w:val="center"/>
              <w:rPr>
                <w:sz w:val="20"/>
                <w:szCs w:val="20"/>
              </w:rPr>
            </w:pPr>
            <w:r>
              <w:rPr>
                <w:sz w:val="20"/>
                <w:szCs w:val="20"/>
              </w:rPr>
              <w:t>色泽</w:t>
            </w:r>
          </w:p>
        </w:tc>
        <w:tc>
          <w:tcPr>
            <w:tcW w:w="3049" w:type="dxa"/>
            <w:vAlign w:val="center"/>
          </w:tcPr>
          <w:p w14:paraId="2D971418">
            <w:pPr>
              <w:spacing w:line="360" w:lineRule="auto"/>
              <w:rPr>
                <w:sz w:val="20"/>
                <w:szCs w:val="20"/>
              </w:rPr>
            </w:pPr>
            <w:r>
              <w:rPr>
                <w:sz w:val="20"/>
                <w:szCs w:val="20"/>
              </w:rPr>
              <w:t>皮色淡棕色或腊黄色，肉面瘦肉褐红色，肌肉切面呈深玫瑰色或桃红色，脂肪切面呈乳白色，骨髓桃红色或腊黄色。</w:t>
            </w:r>
          </w:p>
        </w:tc>
        <w:tc>
          <w:tcPr>
            <w:tcW w:w="2803" w:type="dxa"/>
            <w:vAlign w:val="center"/>
          </w:tcPr>
          <w:p w14:paraId="17EAA5A0">
            <w:pPr>
              <w:spacing w:line="360" w:lineRule="auto"/>
              <w:rPr>
                <w:sz w:val="20"/>
                <w:szCs w:val="20"/>
              </w:rPr>
            </w:pPr>
            <w:r>
              <w:rPr>
                <w:sz w:val="20"/>
                <w:szCs w:val="20"/>
              </w:rPr>
              <w:t>皮色黄亮，肉面光滑油润，肌肉切面呈深玫瑰色，脂肪切面白色或红色，有光泽，蹄壳灰白色。</w:t>
            </w:r>
          </w:p>
        </w:tc>
        <w:tc>
          <w:tcPr>
            <w:tcW w:w="2809" w:type="dxa"/>
            <w:vAlign w:val="center"/>
          </w:tcPr>
          <w:p w14:paraId="1FE0BADA">
            <w:pPr>
              <w:spacing w:line="360" w:lineRule="auto"/>
              <w:rPr>
                <w:sz w:val="20"/>
                <w:szCs w:val="20"/>
              </w:rPr>
            </w:pPr>
            <w:r>
              <w:rPr>
                <w:sz w:val="20"/>
                <w:szCs w:val="20"/>
              </w:rPr>
              <w:t>皮色较黄亮，肉面较光滑，肌肉切面呈玫瑰色，脂肪切面呈白色或微红色，肉面有光泽。</w:t>
            </w:r>
          </w:p>
        </w:tc>
      </w:tr>
      <w:tr w14:paraId="1777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6EE0B691">
            <w:pPr>
              <w:spacing w:line="360" w:lineRule="auto"/>
              <w:jc w:val="center"/>
              <w:rPr>
                <w:sz w:val="20"/>
                <w:szCs w:val="20"/>
              </w:rPr>
            </w:pPr>
            <w:r>
              <w:rPr>
                <w:sz w:val="20"/>
                <w:szCs w:val="20"/>
              </w:rPr>
              <w:t>组织状态</w:t>
            </w:r>
          </w:p>
        </w:tc>
        <w:tc>
          <w:tcPr>
            <w:tcW w:w="3049" w:type="dxa"/>
            <w:vAlign w:val="center"/>
          </w:tcPr>
          <w:p w14:paraId="3DC8C10D">
            <w:pPr>
              <w:spacing w:line="360" w:lineRule="auto"/>
              <w:rPr>
                <w:sz w:val="20"/>
                <w:szCs w:val="20"/>
              </w:rPr>
            </w:pPr>
            <w:r>
              <w:rPr>
                <w:sz w:val="20"/>
                <w:szCs w:val="20"/>
              </w:rPr>
              <w:t>皮与肉不脱离，肉质细嫩，切面平整，有光泽。</w:t>
            </w:r>
          </w:p>
        </w:tc>
        <w:tc>
          <w:tcPr>
            <w:tcW w:w="2803" w:type="dxa"/>
            <w:vAlign w:val="center"/>
          </w:tcPr>
          <w:p w14:paraId="59A2EA9C">
            <w:pPr>
              <w:spacing w:line="360" w:lineRule="auto"/>
              <w:rPr>
                <w:sz w:val="20"/>
                <w:szCs w:val="20"/>
              </w:rPr>
            </w:pPr>
            <w:r>
              <w:rPr>
                <w:sz w:val="20"/>
                <w:szCs w:val="20"/>
              </w:rPr>
              <w:t>肌肉致密紧实，弹性较好，切面平整，较有光泽。</w:t>
            </w:r>
          </w:p>
        </w:tc>
        <w:tc>
          <w:tcPr>
            <w:tcW w:w="2809" w:type="dxa"/>
            <w:vAlign w:val="center"/>
          </w:tcPr>
          <w:p w14:paraId="5A0F492C">
            <w:pPr>
              <w:spacing w:line="360" w:lineRule="auto"/>
              <w:rPr>
                <w:sz w:val="20"/>
                <w:szCs w:val="20"/>
              </w:rPr>
            </w:pPr>
            <w:r>
              <w:rPr>
                <w:sz w:val="20"/>
                <w:szCs w:val="20"/>
              </w:rPr>
              <w:t>皮与肉紧密相连，肌肉结实致密，弹性一般，切面较平整，光泽度一般。</w:t>
            </w:r>
          </w:p>
        </w:tc>
      </w:tr>
      <w:tr w14:paraId="422B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4CB0AE40">
            <w:pPr>
              <w:spacing w:line="360" w:lineRule="auto"/>
              <w:jc w:val="center"/>
              <w:rPr>
                <w:sz w:val="20"/>
                <w:szCs w:val="20"/>
              </w:rPr>
            </w:pPr>
            <w:r>
              <w:rPr>
                <w:sz w:val="20"/>
                <w:szCs w:val="20"/>
              </w:rPr>
              <w:t>滋味</w:t>
            </w:r>
          </w:p>
        </w:tc>
        <w:tc>
          <w:tcPr>
            <w:tcW w:w="8661" w:type="dxa"/>
            <w:gridSpan w:val="3"/>
            <w:vAlign w:val="center"/>
          </w:tcPr>
          <w:p w14:paraId="3119B46D">
            <w:pPr>
              <w:spacing w:line="360" w:lineRule="auto"/>
              <w:jc w:val="center"/>
              <w:rPr>
                <w:sz w:val="20"/>
                <w:szCs w:val="20"/>
              </w:rPr>
            </w:pPr>
            <w:r>
              <w:rPr>
                <w:sz w:val="20"/>
                <w:szCs w:val="20"/>
              </w:rPr>
              <w:t>咸淡适中，口感鲜美，回味悠长</w:t>
            </w:r>
          </w:p>
        </w:tc>
      </w:tr>
      <w:tr w14:paraId="067A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1D735979">
            <w:pPr>
              <w:spacing w:line="360" w:lineRule="auto"/>
              <w:jc w:val="center"/>
              <w:rPr>
                <w:sz w:val="20"/>
                <w:szCs w:val="20"/>
              </w:rPr>
            </w:pPr>
            <w:r>
              <w:rPr>
                <w:sz w:val="20"/>
                <w:szCs w:val="20"/>
              </w:rPr>
              <w:t>香气</w:t>
            </w:r>
          </w:p>
        </w:tc>
        <w:tc>
          <w:tcPr>
            <w:tcW w:w="3049" w:type="dxa"/>
            <w:vAlign w:val="center"/>
          </w:tcPr>
          <w:p w14:paraId="6D3C3B24">
            <w:pPr>
              <w:spacing w:line="360" w:lineRule="auto"/>
              <w:jc w:val="center"/>
              <w:rPr>
                <w:sz w:val="20"/>
                <w:szCs w:val="20"/>
              </w:rPr>
            </w:pPr>
            <w:r>
              <w:rPr>
                <w:sz w:val="20"/>
                <w:szCs w:val="20"/>
              </w:rPr>
              <w:t>三签香</w:t>
            </w:r>
          </w:p>
        </w:tc>
        <w:tc>
          <w:tcPr>
            <w:tcW w:w="2803" w:type="dxa"/>
            <w:vAlign w:val="center"/>
          </w:tcPr>
          <w:p w14:paraId="3AB5B928">
            <w:pPr>
              <w:spacing w:line="360" w:lineRule="auto"/>
              <w:jc w:val="center"/>
              <w:rPr>
                <w:sz w:val="20"/>
                <w:szCs w:val="20"/>
              </w:rPr>
            </w:pPr>
            <w:r>
              <w:rPr>
                <w:sz w:val="20"/>
                <w:szCs w:val="20"/>
              </w:rPr>
              <w:t>三签香</w:t>
            </w:r>
          </w:p>
        </w:tc>
        <w:tc>
          <w:tcPr>
            <w:tcW w:w="2809" w:type="dxa"/>
            <w:vAlign w:val="center"/>
          </w:tcPr>
          <w:p w14:paraId="688D0EB8">
            <w:pPr>
              <w:spacing w:line="360" w:lineRule="auto"/>
              <w:jc w:val="center"/>
              <w:rPr>
                <w:sz w:val="20"/>
                <w:szCs w:val="20"/>
              </w:rPr>
            </w:pPr>
            <w:r>
              <w:rPr>
                <w:sz w:val="20"/>
                <w:szCs w:val="20"/>
              </w:rPr>
              <w:t>二签香，一签无异味</w:t>
            </w:r>
          </w:p>
        </w:tc>
      </w:tr>
    </w:tbl>
    <w:p w14:paraId="2547A17F">
      <w:pPr>
        <w:pStyle w:val="140"/>
        <w:ind w:firstLine="0" w:firstLineChars="0"/>
      </w:pPr>
    </w:p>
    <w:p w14:paraId="480B5A1B">
      <w:pPr>
        <w:pStyle w:val="140"/>
        <w:ind w:firstLine="0" w:firstLineChars="0"/>
      </w:pPr>
    </w:p>
    <w:p w14:paraId="768C96E5">
      <w:pPr>
        <w:pStyle w:val="149"/>
        <w:spacing w:before="156" w:after="156"/>
      </w:pPr>
      <w:r>
        <w:rPr>
          <w:rFonts w:hint="eastAsia"/>
        </w:rPr>
        <w:t>理化指标</w:t>
      </w:r>
    </w:p>
    <w:p w14:paraId="0A85CE46">
      <w:pPr>
        <w:pStyle w:val="153"/>
        <w:numPr>
          <w:ilvl w:val="2"/>
          <w:numId w:val="0"/>
        </w:numPr>
        <w:ind w:left="158" w:leftChars="75" w:firstLine="157" w:firstLineChars="75"/>
      </w:pPr>
      <w:r>
        <w:rPr>
          <w:rFonts w:hint="eastAsia"/>
        </w:rPr>
        <w:t>理化指标应符合表2规定。</w:t>
      </w:r>
    </w:p>
    <w:p w14:paraId="4A47094E">
      <w:pPr>
        <w:spacing w:line="360" w:lineRule="auto"/>
        <w:ind w:firstLine="400" w:firstLineChars="200"/>
        <w:jc w:val="center"/>
        <w:rPr>
          <w:rFonts w:eastAsia="黑体"/>
          <w:sz w:val="20"/>
          <w:szCs w:val="20"/>
        </w:rPr>
      </w:pPr>
      <w:r>
        <w:rPr>
          <w:rFonts w:eastAsia="黑体"/>
          <w:sz w:val="20"/>
          <w:szCs w:val="20"/>
        </w:rPr>
        <w:t>表2 理化指标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3"/>
        <w:gridCol w:w="1701"/>
        <w:gridCol w:w="1895"/>
        <w:gridCol w:w="1935"/>
      </w:tblGrid>
      <w:tr w14:paraId="70A8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223CBFD1">
            <w:pPr>
              <w:pStyle w:val="158"/>
              <w:spacing w:before="71" w:line="219" w:lineRule="auto"/>
              <w:jc w:val="center"/>
              <w:rPr>
                <w:rFonts w:ascii="Times New Roman" w:hAnsi="Times New Roman" w:cs="Times New Roman"/>
                <w:sz w:val="20"/>
                <w:szCs w:val="20"/>
              </w:rPr>
            </w:pPr>
            <w:r>
              <w:rPr>
                <w:rFonts w:ascii="Times New Roman" w:hAnsi="Times New Roman" w:cs="Times New Roman"/>
                <w:spacing w:val="-2"/>
                <w:sz w:val="20"/>
                <w:szCs w:val="20"/>
              </w:rPr>
              <w:t>指标/等级</w:t>
            </w:r>
          </w:p>
        </w:tc>
        <w:tc>
          <w:tcPr>
            <w:tcW w:w="908" w:type="pct"/>
            <w:shd w:val="clear" w:color="auto" w:fill="auto"/>
            <w:vAlign w:val="center"/>
          </w:tcPr>
          <w:p w14:paraId="0F977D89">
            <w:pPr>
              <w:pStyle w:val="158"/>
              <w:spacing w:before="71" w:line="219" w:lineRule="auto"/>
              <w:jc w:val="center"/>
              <w:rPr>
                <w:rFonts w:ascii="Times New Roman" w:hAnsi="Times New Roman" w:cs="Times New Roman"/>
                <w:sz w:val="20"/>
                <w:szCs w:val="20"/>
              </w:rPr>
            </w:pPr>
            <w:r>
              <w:rPr>
                <w:rFonts w:ascii="Times New Roman" w:hAnsi="Times New Roman" w:cs="Times New Roman"/>
                <w:spacing w:val="-4"/>
                <w:sz w:val="20"/>
                <w:szCs w:val="20"/>
              </w:rPr>
              <w:t>特级</w:t>
            </w:r>
          </w:p>
        </w:tc>
        <w:tc>
          <w:tcPr>
            <w:tcW w:w="1012" w:type="pct"/>
            <w:shd w:val="clear" w:color="auto" w:fill="auto"/>
            <w:vAlign w:val="center"/>
          </w:tcPr>
          <w:p w14:paraId="41B7A49F">
            <w:pPr>
              <w:pStyle w:val="158"/>
              <w:spacing w:before="71" w:line="221" w:lineRule="auto"/>
              <w:jc w:val="center"/>
              <w:rPr>
                <w:rFonts w:ascii="Times New Roman" w:hAnsi="Times New Roman" w:cs="Times New Roman"/>
                <w:sz w:val="20"/>
                <w:szCs w:val="20"/>
              </w:rPr>
            </w:pPr>
            <w:r>
              <w:rPr>
                <w:rFonts w:ascii="Times New Roman" w:hAnsi="Times New Roman" w:cs="Times New Roman"/>
                <w:sz w:val="20"/>
                <w:szCs w:val="20"/>
              </w:rPr>
              <w:t>一级</w:t>
            </w:r>
          </w:p>
        </w:tc>
        <w:tc>
          <w:tcPr>
            <w:tcW w:w="1033" w:type="pct"/>
            <w:shd w:val="clear" w:color="auto" w:fill="auto"/>
            <w:vAlign w:val="center"/>
          </w:tcPr>
          <w:p w14:paraId="3D3335EA">
            <w:pPr>
              <w:pStyle w:val="158"/>
              <w:spacing w:before="71" w:line="221" w:lineRule="auto"/>
              <w:jc w:val="center"/>
              <w:rPr>
                <w:rFonts w:ascii="Times New Roman" w:hAnsi="Times New Roman" w:cs="Times New Roman"/>
                <w:sz w:val="20"/>
                <w:szCs w:val="20"/>
              </w:rPr>
            </w:pPr>
            <w:r>
              <w:rPr>
                <w:rFonts w:ascii="Times New Roman" w:hAnsi="Times New Roman" w:cs="Times New Roman"/>
                <w:spacing w:val="-5"/>
                <w:sz w:val="20"/>
                <w:szCs w:val="20"/>
              </w:rPr>
              <w:t>二级</w:t>
            </w:r>
          </w:p>
        </w:tc>
      </w:tr>
      <w:tr w14:paraId="0911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7B7F39D7">
            <w:pPr>
              <w:pStyle w:val="158"/>
              <w:spacing w:before="61" w:line="219" w:lineRule="auto"/>
              <w:ind w:left="104"/>
              <w:jc w:val="center"/>
              <w:rPr>
                <w:rFonts w:ascii="Times New Roman" w:hAnsi="Times New Roman" w:cs="Times New Roman"/>
                <w:sz w:val="20"/>
                <w:szCs w:val="20"/>
              </w:rPr>
            </w:pPr>
            <w:r>
              <w:rPr>
                <w:rFonts w:ascii="Times New Roman" w:hAnsi="Times New Roman" w:cs="Times New Roman"/>
                <w:spacing w:val="-2"/>
                <w:sz w:val="20"/>
                <w:szCs w:val="20"/>
              </w:rPr>
              <w:t>瘦肉比例（%</w:t>
            </w:r>
            <w:r>
              <w:rPr>
                <w:rFonts w:ascii="Times New Roman" w:hAnsi="Times New Roman" w:cs="Times New Roman"/>
                <w:spacing w:val="-10"/>
                <w:sz w:val="20"/>
                <w:szCs w:val="20"/>
              </w:rPr>
              <w:t>）</w:t>
            </w:r>
            <w:r>
              <w:rPr>
                <w:rFonts w:ascii="Times New Roman" w:hAnsi="Times New Roman" w:cs="Times New Roman"/>
                <w:spacing w:val="-10"/>
                <w:sz w:val="20"/>
                <w:szCs w:val="20"/>
                <w:lang w:eastAsia="zh-CN"/>
              </w:rPr>
              <w:t xml:space="preserve">                           </w:t>
            </w:r>
            <w:r>
              <w:rPr>
                <w:rFonts w:ascii="Times New Roman" w:hAnsi="Times New Roman" w:cs="Times New Roman"/>
                <w:spacing w:val="-2"/>
                <w:sz w:val="20"/>
                <w:szCs w:val="20"/>
              </w:rPr>
              <w:t>≥</w:t>
            </w:r>
          </w:p>
        </w:tc>
        <w:tc>
          <w:tcPr>
            <w:tcW w:w="908" w:type="pct"/>
            <w:shd w:val="clear" w:color="auto" w:fill="auto"/>
            <w:vAlign w:val="center"/>
          </w:tcPr>
          <w:p w14:paraId="5ADAF40D">
            <w:pPr>
              <w:spacing w:before="90" w:line="188" w:lineRule="auto"/>
              <w:jc w:val="center"/>
              <w:rPr>
                <w:sz w:val="20"/>
                <w:szCs w:val="20"/>
              </w:rPr>
            </w:pPr>
            <w:r>
              <w:rPr>
                <w:spacing w:val="-4"/>
                <w:sz w:val="20"/>
                <w:szCs w:val="20"/>
              </w:rPr>
              <w:t>65.0</w:t>
            </w:r>
          </w:p>
        </w:tc>
        <w:tc>
          <w:tcPr>
            <w:tcW w:w="1012" w:type="pct"/>
            <w:shd w:val="clear" w:color="auto" w:fill="auto"/>
            <w:vAlign w:val="center"/>
          </w:tcPr>
          <w:p w14:paraId="1CD175CF">
            <w:pPr>
              <w:spacing w:before="90" w:line="188" w:lineRule="auto"/>
              <w:jc w:val="center"/>
              <w:rPr>
                <w:sz w:val="20"/>
                <w:szCs w:val="20"/>
              </w:rPr>
            </w:pPr>
            <w:r>
              <w:rPr>
                <w:spacing w:val="-4"/>
                <w:sz w:val="20"/>
                <w:szCs w:val="20"/>
              </w:rPr>
              <w:t>60.0</w:t>
            </w:r>
          </w:p>
        </w:tc>
        <w:tc>
          <w:tcPr>
            <w:tcW w:w="1033" w:type="pct"/>
            <w:shd w:val="clear" w:color="auto" w:fill="auto"/>
            <w:vAlign w:val="center"/>
          </w:tcPr>
          <w:p w14:paraId="2AA14CEF">
            <w:pPr>
              <w:spacing w:before="92" w:line="185" w:lineRule="auto"/>
              <w:jc w:val="center"/>
              <w:rPr>
                <w:sz w:val="20"/>
                <w:szCs w:val="20"/>
              </w:rPr>
            </w:pPr>
            <w:r>
              <w:rPr>
                <w:spacing w:val="-4"/>
                <w:sz w:val="20"/>
                <w:szCs w:val="20"/>
              </w:rPr>
              <w:t>55.0</w:t>
            </w:r>
          </w:p>
        </w:tc>
      </w:tr>
      <w:tr w14:paraId="256A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73C2DC9A">
            <w:pPr>
              <w:pStyle w:val="158"/>
              <w:spacing w:before="73" w:line="210" w:lineRule="auto"/>
              <w:ind w:left="103"/>
              <w:jc w:val="center"/>
              <w:rPr>
                <w:rFonts w:ascii="Times New Roman" w:hAnsi="Times New Roman" w:cs="Times New Roman"/>
                <w:sz w:val="20"/>
                <w:szCs w:val="20"/>
              </w:rPr>
            </w:pPr>
            <w:r>
              <w:rPr>
                <w:rFonts w:ascii="Times New Roman" w:hAnsi="Times New Roman" w:cs="Times New Roman"/>
                <w:spacing w:val="-1"/>
                <w:sz w:val="20"/>
                <w:szCs w:val="20"/>
              </w:rPr>
              <w:t>三甲胺氮（mg/100g</w:t>
            </w:r>
            <w:r>
              <w:rPr>
                <w:rFonts w:ascii="Times New Roman" w:hAnsi="Times New Roman" w:cs="Times New Roman"/>
                <w:spacing w:val="3"/>
                <w:sz w:val="20"/>
                <w:szCs w:val="20"/>
              </w:rPr>
              <w:t>）</w:t>
            </w:r>
            <w:r>
              <w:rPr>
                <w:rFonts w:ascii="Times New Roman" w:hAnsi="Times New Roman" w:cs="Times New Roman"/>
                <w:spacing w:val="3"/>
                <w:sz w:val="20"/>
                <w:szCs w:val="20"/>
                <w:lang w:eastAsia="zh-CN"/>
              </w:rPr>
              <w:t xml:space="preserve">               </w:t>
            </w:r>
            <w:r>
              <w:rPr>
                <w:rFonts w:ascii="Times New Roman" w:hAnsi="Times New Roman" w:cs="Times New Roman"/>
                <w:spacing w:val="-1"/>
                <w:sz w:val="20"/>
                <w:szCs w:val="20"/>
              </w:rPr>
              <w:t>≤</w:t>
            </w:r>
          </w:p>
        </w:tc>
        <w:tc>
          <w:tcPr>
            <w:tcW w:w="908" w:type="pct"/>
            <w:shd w:val="clear" w:color="auto" w:fill="auto"/>
            <w:vAlign w:val="center"/>
          </w:tcPr>
          <w:p w14:paraId="15960818">
            <w:pPr>
              <w:spacing w:before="102" w:line="188" w:lineRule="auto"/>
              <w:jc w:val="center"/>
              <w:rPr>
                <w:sz w:val="20"/>
                <w:szCs w:val="20"/>
              </w:rPr>
            </w:pPr>
            <w:r>
              <w:rPr>
                <w:spacing w:val="-2"/>
                <w:sz w:val="20"/>
                <w:szCs w:val="20"/>
              </w:rPr>
              <w:t>2.00</w:t>
            </w:r>
          </w:p>
        </w:tc>
        <w:tc>
          <w:tcPr>
            <w:tcW w:w="1012" w:type="pct"/>
            <w:shd w:val="clear" w:color="auto" w:fill="auto"/>
            <w:vAlign w:val="center"/>
          </w:tcPr>
          <w:p w14:paraId="37C135D8">
            <w:pPr>
              <w:spacing w:before="102" w:line="188" w:lineRule="auto"/>
              <w:jc w:val="center"/>
              <w:rPr>
                <w:sz w:val="20"/>
                <w:szCs w:val="20"/>
              </w:rPr>
            </w:pPr>
            <w:r>
              <w:rPr>
                <w:spacing w:val="-1"/>
                <w:sz w:val="20"/>
                <w:szCs w:val="20"/>
              </w:rPr>
              <w:t>2.20</w:t>
            </w:r>
          </w:p>
        </w:tc>
        <w:tc>
          <w:tcPr>
            <w:tcW w:w="1033" w:type="pct"/>
            <w:shd w:val="clear" w:color="auto" w:fill="auto"/>
            <w:vAlign w:val="center"/>
          </w:tcPr>
          <w:p w14:paraId="0A3B70FF">
            <w:pPr>
              <w:spacing w:before="102" w:line="188" w:lineRule="auto"/>
              <w:jc w:val="center"/>
              <w:rPr>
                <w:sz w:val="20"/>
                <w:szCs w:val="20"/>
              </w:rPr>
            </w:pPr>
            <w:r>
              <w:rPr>
                <w:spacing w:val="-2"/>
                <w:sz w:val="20"/>
                <w:szCs w:val="20"/>
              </w:rPr>
              <w:t>2.40</w:t>
            </w:r>
          </w:p>
        </w:tc>
      </w:tr>
      <w:tr w14:paraId="1A3D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037F350B">
            <w:pPr>
              <w:pStyle w:val="158"/>
              <w:spacing w:before="77" w:line="212" w:lineRule="auto"/>
              <w:ind w:left="104"/>
              <w:jc w:val="center"/>
              <w:rPr>
                <w:rFonts w:ascii="Times New Roman" w:hAnsi="Times New Roman" w:cs="Times New Roman"/>
                <w:sz w:val="20"/>
                <w:szCs w:val="20"/>
                <w:lang w:eastAsia="zh-CN"/>
              </w:rPr>
            </w:pPr>
            <w:r>
              <w:rPr>
                <w:rFonts w:ascii="Times New Roman" w:hAnsi="Times New Roman" w:cs="Times New Roman"/>
                <w:spacing w:val="-1"/>
                <w:sz w:val="20"/>
                <w:szCs w:val="20"/>
                <w:lang w:eastAsia="zh-CN"/>
              </w:rPr>
              <w:t>过氧化值</w:t>
            </w:r>
            <w:r>
              <w:rPr>
                <w:rFonts w:hint="eastAsia" w:ascii="Times New Roman" w:hAnsi="Times New Roman" w:cs="Times New Roman"/>
                <w:spacing w:val="-1"/>
                <w:sz w:val="20"/>
                <w:szCs w:val="20"/>
                <w:lang w:eastAsia="zh-CN"/>
              </w:rPr>
              <w:t>（</w:t>
            </w:r>
            <w:r>
              <w:rPr>
                <w:rFonts w:ascii="Times New Roman" w:hAnsi="Times New Roman" w:cs="Times New Roman"/>
                <w:spacing w:val="-1"/>
                <w:sz w:val="20"/>
                <w:szCs w:val="20"/>
                <w:lang w:eastAsia="zh-CN"/>
              </w:rPr>
              <w:t>以脂肪计</w:t>
            </w:r>
            <w:r>
              <w:rPr>
                <w:rFonts w:hint="eastAsia" w:ascii="Times New Roman" w:hAnsi="Times New Roman" w:cs="Times New Roman"/>
                <w:spacing w:val="-1"/>
                <w:sz w:val="20"/>
                <w:szCs w:val="20"/>
                <w:lang w:eastAsia="zh-CN"/>
              </w:rPr>
              <w:t>）</w:t>
            </w:r>
            <w:r>
              <w:rPr>
                <w:rFonts w:ascii="Times New Roman" w:hAnsi="Times New Roman" w:cs="Times New Roman"/>
                <w:spacing w:val="-1"/>
                <w:sz w:val="20"/>
                <w:szCs w:val="20"/>
                <w:lang w:eastAsia="zh-CN"/>
              </w:rPr>
              <w:t>/（g/100g</w:t>
            </w:r>
            <w:r>
              <w:rPr>
                <w:rFonts w:ascii="Times New Roman" w:hAnsi="Times New Roman" w:cs="Times New Roman"/>
                <w:spacing w:val="3"/>
                <w:sz w:val="20"/>
                <w:szCs w:val="20"/>
                <w:lang w:eastAsia="zh-CN"/>
              </w:rPr>
              <w:t xml:space="preserve">）      </w:t>
            </w:r>
            <w:r>
              <w:rPr>
                <w:rFonts w:ascii="Times New Roman" w:hAnsi="Times New Roman" w:cs="Times New Roman"/>
                <w:spacing w:val="-1"/>
                <w:sz w:val="20"/>
                <w:szCs w:val="20"/>
                <w:lang w:eastAsia="zh-CN"/>
              </w:rPr>
              <w:t>≤</w:t>
            </w:r>
          </w:p>
        </w:tc>
        <w:tc>
          <w:tcPr>
            <w:tcW w:w="908" w:type="pct"/>
            <w:shd w:val="clear" w:color="auto" w:fill="auto"/>
            <w:vAlign w:val="center"/>
          </w:tcPr>
          <w:p w14:paraId="42228BA3">
            <w:pPr>
              <w:spacing w:before="108" w:line="188" w:lineRule="auto"/>
              <w:jc w:val="center"/>
              <w:rPr>
                <w:sz w:val="20"/>
                <w:szCs w:val="20"/>
              </w:rPr>
            </w:pPr>
            <w:r>
              <w:rPr>
                <w:spacing w:val="-2"/>
                <w:sz w:val="20"/>
                <w:szCs w:val="20"/>
              </w:rPr>
              <w:t>0.20</w:t>
            </w:r>
          </w:p>
        </w:tc>
        <w:tc>
          <w:tcPr>
            <w:tcW w:w="1012" w:type="pct"/>
            <w:shd w:val="clear" w:color="auto" w:fill="auto"/>
            <w:vAlign w:val="center"/>
          </w:tcPr>
          <w:p w14:paraId="4253BF3C">
            <w:pPr>
              <w:spacing w:before="108" w:line="188" w:lineRule="auto"/>
              <w:jc w:val="center"/>
              <w:rPr>
                <w:sz w:val="20"/>
                <w:szCs w:val="20"/>
              </w:rPr>
            </w:pPr>
            <w:r>
              <w:rPr>
                <w:spacing w:val="-2"/>
                <w:sz w:val="20"/>
                <w:szCs w:val="20"/>
              </w:rPr>
              <w:t>0.30</w:t>
            </w:r>
          </w:p>
        </w:tc>
        <w:tc>
          <w:tcPr>
            <w:tcW w:w="1033" w:type="pct"/>
            <w:shd w:val="clear" w:color="auto" w:fill="auto"/>
            <w:vAlign w:val="center"/>
          </w:tcPr>
          <w:p w14:paraId="21DC4487">
            <w:pPr>
              <w:spacing w:before="108" w:line="188" w:lineRule="auto"/>
              <w:jc w:val="center"/>
              <w:rPr>
                <w:sz w:val="20"/>
                <w:szCs w:val="20"/>
              </w:rPr>
            </w:pPr>
            <w:r>
              <w:rPr>
                <w:spacing w:val="-2"/>
                <w:sz w:val="20"/>
                <w:szCs w:val="20"/>
              </w:rPr>
              <w:t>0.40</w:t>
            </w:r>
          </w:p>
        </w:tc>
      </w:tr>
      <w:tr w14:paraId="3B5B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4DF4876C">
            <w:pPr>
              <w:pStyle w:val="158"/>
              <w:spacing w:before="81" w:line="212" w:lineRule="auto"/>
              <w:ind w:left="105"/>
              <w:jc w:val="center"/>
              <w:rPr>
                <w:rFonts w:ascii="Times New Roman" w:hAnsi="Times New Roman" w:cs="Times New Roman"/>
                <w:sz w:val="20"/>
                <w:szCs w:val="20"/>
              </w:rPr>
            </w:pPr>
            <w:r>
              <w:rPr>
                <w:rFonts w:ascii="Times New Roman" w:hAnsi="Times New Roman" w:cs="Times New Roman"/>
                <w:spacing w:val="-2"/>
                <w:sz w:val="20"/>
                <w:szCs w:val="20"/>
              </w:rPr>
              <w:t>亚硝酸盐（以</w:t>
            </w:r>
            <w:r>
              <w:rPr>
                <w:rFonts w:ascii="Times New Roman" w:hAnsi="Times New Roman" w:cs="Times New Roman"/>
                <w:spacing w:val="-49"/>
                <w:sz w:val="20"/>
                <w:szCs w:val="20"/>
              </w:rPr>
              <w:t xml:space="preserve"> </w:t>
            </w:r>
            <w:r>
              <w:rPr>
                <w:rFonts w:ascii="Times New Roman" w:hAnsi="Times New Roman" w:cs="Times New Roman"/>
                <w:spacing w:val="-2"/>
                <w:sz w:val="20"/>
                <w:szCs w:val="20"/>
              </w:rPr>
              <w:t>NaNO</w:t>
            </w:r>
            <w:r>
              <w:rPr>
                <w:rFonts w:ascii="Times New Roman" w:hAnsi="Times New Roman" w:cs="Times New Roman"/>
                <w:spacing w:val="-2"/>
                <w:sz w:val="20"/>
                <w:szCs w:val="20"/>
                <w:vertAlign w:val="subscript"/>
              </w:rPr>
              <w:t>2</w:t>
            </w:r>
            <w:r>
              <w:rPr>
                <w:rFonts w:ascii="Times New Roman" w:hAnsi="Times New Roman" w:cs="Times New Roman"/>
                <w:spacing w:val="-2"/>
                <w:sz w:val="20"/>
                <w:szCs w:val="20"/>
              </w:rPr>
              <w:t xml:space="preserve"> 计</w:t>
            </w:r>
            <w:r>
              <w:rPr>
                <w:rFonts w:ascii="Times New Roman" w:hAnsi="Times New Roman" w:cs="Times New Roman"/>
                <w:spacing w:val="2"/>
                <w:sz w:val="20"/>
                <w:szCs w:val="20"/>
              </w:rPr>
              <w:t>）</w:t>
            </w:r>
            <w:r>
              <w:rPr>
                <w:rFonts w:ascii="Times New Roman" w:hAnsi="Times New Roman" w:cs="Times New Roman"/>
                <w:spacing w:val="2"/>
                <w:sz w:val="20"/>
                <w:szCs w:val="20"/>
                <w:lang w:eastAsia="zh-CN"/>
              </w:rPr>
              <w:t>/（</w:t>
            </w:r>
            <w:r>
              <w:rPr>
                <w:rFonts w:ascii="Times New Roman" w:hAnsi="Times New Roman" w:cs="Times New Roman"/>
                <w:spacing w:val="-2"/>
                <w:sz w:val="20"/>
                <w:szCs w:val="20"/>
              </w:rPr>
              <w:t>mg/kg</w:t>
            </w:r>
            <w:r>
              <w:rPr>
                <w:rFonts w:ascii="Times New Roman" w:hAnsi="Times New Roman" w:cs="Times New Roman"/>
                <w:spacing w:val="-2"/>
                <w:sz w:val="20"/>
                <w:szCs w:val="20"/>
                <w:lang w:eastAsia="zh-CN"/>
              </w:rPr>
              <w:t>）</w:t>
            </w:r>
            <w:r>
              <w:rPr>
                <w:rFonts w:ascii="Times New Roman" w:hAnsi="Times New Roman" w:cs="Times New Roman"/>
                <w:spacing w:val="2"/>
                <w:sz w:val="20"/>
                <w:szCs w:val="20"/>
                <w:lang w:eastAsia="zh-CN"/>
              </w:rPr>
              <w:t xml:space="preserve">  </w:t>
            </w:r>
            <w:r>
              <w:rPr>
                <w:rFonts w:ascii="Times New Roman" w:hAnsi="Times New Roman" w:cs="Times New Roman"/>
                <w:spacing w:val="-2"/>
                <w:sz w:val="20"/>
                <w:szCs w:val="20"/>
              </w:rPr>
              <w:t>≤</w:t>
            </w:r>
          </w:p>
        </w:tc>
        <w:tc>
          <w:tcPr>
            <w:tcW w:w="908" w:type="pct"/>
            <w:shd w:val="clear" w:color="auto" w:fill="auto"/>
            <w:vAlign w:val="center"/>
          </w:tcPr>
          <w:p w14:paraId="38FC138D">
            <w:pPr>
              <w:spacing w:before="114" w:line="185" w:lineRule="auto"/>
              <w:jc w:val="center"/>
              <w:rPr>
                <w:sz w:val="20"/>
                <w:szCs w:val="20"/>
              </w:rPr>
            </w:pPr>
            <w:r>
              <w:rPr>
                <w:sz w:val="20"/>
                <w:szCs w:val="20"/>
              </w:rPr>
              <w:t>5.0</w:t>
            </w:r>
          </w:p>
        </w:tc>
        <w:tc>
          <w:tcPr>
            <w:tcW w:w="1012" w:type="pct"/>
            <w:shd w:val="clear" w:color="auto" w:fill="auto"/>
            <w:vAlign w:val="center"/>
          </w:tcPr>
          <w:p w14:paraId="3986CF7B">
            <w:pPr>
              <w:spacing w:before="112" w:line="188" w:lineRule="auto"/>
              <w:jc w:val="center"/>
              <w:rPr>
                <w:sz w:val="20"/>
                <w:szCs w:val="20"/>
              </w:rPr>
            </w:pPr>
            <w:r>
              <w:rPr>
                <w:spacing w:val="-10"/>
                <w:sz w:val="20"/>
                <w:szCs w:val="20"/>
              </w:rPr>
              <w:t>10</w:t>
            </w:r>
          </w:p>
        </w:tc>
        <w:tc>
          <w:tcPr>
            <w:tcW w:w="1033" w:type="pct"/>
            <w:shd w:val="clear" w:color="auto" w:fill="auto"/>
            <w:vAlign w:val="center"/>
          </w:tcPr>
          <w:p w14:paraId="03D27190">
            <w:pPr>
              <w:spacing w:before="112" w:line="188" w:lineRule="auto"/>
              <w:jc w:val="center"/>
              <w:rPr>
                <w:sz w:val="20"/>
                <w:szCs w:val="20"/>
              </w:rPr>
            </w:pPr>
            <w:r>
              <w:rPr>
                <w:spacing w:val="-10"/>
                <w:sz w:val="20"/>
                <w:szCs w:val="20"/>
              </w:rPr>
              <w:t>15</w:t>
            </w:r>
          </w:p>
        </w:tc>
      </w:tr>
      <w:tr w14:paraId="410E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37AE73A1">
            <w:pPr>
              <w:pStyle w:val="158"/>
              <w:spacing w:before="84" w:line="212" w:lineRule="auto"/>
              <w:ind w:left="105"/>
              <w:jc w:val="center"/>
              <w:rPr>
                <w:rFonts w:ascii="Times New Roman" w:hAnsi="Times New Roman" w:cs="Times New Roman"/>
                <w:spacing w:val="-1"/>
                <w:sz w:val="20"/>
                <w:szCs w:val="20"/>
                <w:lang w:eastAsia="zh-CN"/>
              </w:rPr>
            </w:pPr>
            <w:r>
              <w:rPr>
                <w:rFonts w:ascii="Times New Roman" w:hAnsi="Times New Roman" w:cs="Times New Roman"/>
                <w:spacing w:val="-1"/>
                <w:sz w:val="20"/>
                <w:szCs w:val="20"/>
                <w:lang w:eastAsia="zh-CN"/>
              </w:rPr>
              <w:t>水分（以瘦肉计）/（g/100g）</w:t>
            </w:r>
            <w:r>
              <w:rPr>
                <w:rFonts w:ascii="Times New Roman" w:hAnsi="Times New Roman" w:cs="Times New Roman"/>
                <w:spacing w:val="1"/>
                <w:sz w:val="20"/>
                <w:szCs w:val="20"/>
                <w:lang w:eastAsia="zh-CN"/>
              </w:rPr>
              <w:t xml:space="preserve">        </w:t>
            </w:r>
            <w:r>
              <w:rPr>
                <w:rFonts w:ascii="Times New Roman" w:hAnsi="Times New Roman" w:cs="Times New Roman"/>
                <w:spacing w:val="-1"/>
                <w:sz w:val="20"/>
                <w:szCs w:val="20"/>
                <w:lang w:eastAsia="zh-CN"/>
              </w:rPr>
              <w:t>≤</w:t>
            </w:r>
          </w:p>
        </w:tc>
        <w:tc>
          <w:tcPr>
            <w:tcW w:w="2953" w:type="pct"/>
            <w:gridSpan w:val="3"/>
            <w:shd w:val="clear" w:color="auto" w:fill="auto"/>
            <w:vAlign w:val="center"/>
          </w:tcPr>
          <w:p w14:paraId="3A96AA40">
            <w:pPr>
              <w:spacing w:before="115" w:line="188" w:lineRule="auto"/>
              <w:jc w:val="center"/>
              <w:rPr>
                <w:spacing w:val="-1"/>
                <w:sz w:val="20"/>
                <w:szCs w:val="20"/>
              </w:rPr>
            </w:pPr>
            <w:r>
              <w:rPr>
                <w:spacing w:val="-1"/>
                <w:sz w:val="20"/>
                <w:szCs w:val="20"/>
              </w:rPr>
              <w:t>52.0</w:t>
            </w:r>
          </w:p>
        </w:tc>
      </w:tr>
      <w:tr w14:paraId="582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047" w:type="pct"/>
            <w:shd w:val="clear" w:color="auto" w:fill="auto"/>
            <w:vAlign w:val="center"/>
          </w:tcPr>
          <w:p w14:paraId="57E1F580">
            <w:pPr>
              <w:pStyle w:val="158"/>
              <w:spacing w:before="84" w:line="212" w:lineRule="auto"/>
              <w:ind w:left="105"/>
              <w:jc w:val="center"/>
              <w:rPr>
                <w:rFonts w:ascii="Times New Roman" w:hAnsi="Times New Roman" w:cs="Times New Roman"/>
                <w:spacing w:val="-1"/>
                <w:sz w:val="20"/>
                <w:szCs w:val="20"/>
                <w:lang w:eastAsia="zh-CN"/>
              </w:rPr>
            </w:pPr>
            <w:r>
              <w:rPr>
                <w:rFonts w:ascii="Times New Roman" w:hAnsi="Times New Roman" w:cs="Times New Roman"/>
                <w:spacing w:val="-2"/>
                <w:sz w:val="20"/>
                <w:szCs w:val="20"/>
                <w:lang w:eastAsia="zh-CN"/>
              </w:rPr>
              <w:t>盐分（以瘦肉中的</w:t>
            </w:r>
            <w:r>
              <w:rPr>
                <w:rFonts w:ascii="Times New Roman" w:hAnsi="Times New Roman" w:cs="Times New Roman"/>
                <w:spacing w:val="-38"/>
                <w:sz w:val="20"/>
                <w:szCs w:val="20"/>
                <w:lang w:eastAsia="zh-CN"/>
              </w:rPr>
              <w:t xml:space="preserve"> </w:t>
            </w:r>
            <w:r>
              <w:rPr>
                <w:rFonts w:ascii="Times New Roman" w:hAnsi="Times New Roman" w:cs="Times New Roman"/>
                <w:spacing w:val="-2"/>
                <w:sz w:val="20"/>
                <w:szCs w:val="20"/>
                <w:lang w:eastAsia="zh-CN"/>
              </w:rPr>
              <w:t>NaCl 计）/(%)</w:t>
            </w:r>
            <w:r>
              <w:rPr>
                <w:rFonts w:ascii="Times New Roman" w:hAnsi="Times New Roman" w:cs="Times New Roman"/>
                <w:spacing w:val="-24"/>
                <w:sz w:val="20"/>
                <w:szCs w:val="20"/>
                <w:lang w:eastAsia="zh-CN"/>
              </w:rPr>
              <w:t xml:space="preserve"> </w:t>
            </w:r>
            <w:r>
              <w:rPr>
                <w:rFonts w:ascii="Times New Roman" w:hAnsi="Times New Roman" w:cs="Times New Roman"/>
                <w:spacing w:val="-2"/>
                <w:sz w:val="20"/>
                <w:szCs w:val="20"/>
                <w:lang w:eastAsia="zh-CN"/>
              </w:rPr>
              <w:t xml:space="preserve">     ≤</w:t>
            </w:r>
          </w:p>
        </w:tc>
        <w:tc>
          <w:tcPr>
            <w:tcW w:w="2953" w:type="pct"/>
            <w:gridSpan w:val="3"/>
            <w:shd w:val="clear" w:color="auto" w:fill="auto"/>
            <w:vAlign w:val="center"/>
          </w:tcPr>
          <w:p w14:paraId="129423CB">
            <w:pPr>
              <w:spacing w:before="115" w:line="188" w:lineRule="auto"/>
              <w:jc w:val="center"/>
              <w:rPr>
                <w:spacing w:val="-1"/>
                <w:sz w:val="20"/>
                <w:szCs w:val="20"/>
              </w:rPr>
            </w:pPr>
            <w:r>
              <w:rPr>
                <w:spacing w:val="-3"/>
                <w:sz w:val="20"/>
                <w:szCs w:val="20"/>
              </w:rPr>
              <w:t>9.00</w:t>
            </w:r>
          </w:p>
        </w:tc>
      </w:tr>
    </w:tbl>
    <w:p w14:paraId="70F62095">
      <w:pPr>
        <w:pStyle w:val="140"/>
        <w:ind w:firstLine="420"/>
      </w:pPr>
    </w:p>
    <w:p w14:paraId="2D4CF9E1">
      <w:pPr>
        <w:pStyle w:val="149"/>
        <w:spacing w:before="156" w:after="156"/>
      </w:pPr>
      <w:r>
        <w:rPr>
          <w:rFonts w:hint="eastAsia"/>
        </w:rPr>
        <w:t>其他安全指标</w:t>
      </w:r>
    </w:p>
    <w:p w14:paraId="7D1AE90D">
      <w:pPr>
        <w:pStyle w:val="153"/>
        <w:numPr>
          <w:ilvl w:val="2"/>
          <w:numId w:val="0"/>
        </w:numPr>
        <w:ind w:left="158" w:leftChars="75" w:firstLine="157" w:firstLineChars="75"/>
      </w:pPr>
      <w:r>
        <w:rPr>
          <w:rFonts w:hint="eastAsia"/>
        </w:rPr>
        <w:t>应符合GB 2761、GB 2762和GB 31650等标准或相关法律法规的规定。</w:t>
      </w:r>
    </w:p>
    <w:p w14:paraId="0C6BA065">
      <w:pPr>
        <w:pStyle w:val="149"/>
        <w:spacing w:before="156" w:after="156"/>
      </w:pPr>
      <w:r>
        <w:rPr>
          <w:rFonts w:hint="eastAsia"/>
        </w:rPr>
        <w:t>净含量</w:t>
      </w:r>
    </w:p>
    <w:p w14:paraId="17F50229">
      <w:pPr>
        <w:pStyle w:val="153"/>
        <w:numPr>
          <w:ilvl w:val="2"/>
          <w:numId w:val="0"/>
        </w:numPr>
        <w:ind w:left="158" w:leftChars="75" w:firstLine="157" w:firstLineChars="75"/>
      </w:pPr>
      <w:r>
        <w:rPr>
          <w:rFonts w:hint="eastAsia"/>
        </w:rPr>
        <w:t>应符合国家市场监督管理总局令第70号《定量包装商品计量监督管理办法》的要求。</w:t>
      </w:r>
    </w:p>
    <w:p w14:paraId="2D608C9A">
      <w:pPr>
        <w:pStyle w:val="148"/>
        <w:spacing w:before="312" w:after="312"/>
      </w:pPr>
      <w:r>
        <w:rPr>
          <w:rFonts w:hint="eastAsia"/>
        </w:rPr>
        <w:t>检验</w:t>
      </w:r>
    </w:p>
    <w:p w14:paraId="6BFEC224">
      <w:pPr>
        <w:pStyle w:val="153"/>
        <w:numPr>
          <w:ilvl w:val="2"/>
          <w:numId w:val="0"/>
        </w:numPr>
        <w:ind w:left="158" w:leftChars="75" w:firstLine="157" w:firstLineChars="75"/>
      </w:pPr>
      <w:r>
        <w:rPr>
          <w:rFonts w:hint="eastAsia"/>
        </w:rPr>
        <w:t>应符合GB 14881中第9章的规定。以下所指火腿上方、中方和下方的取样部详见附录A；其余要求参考特定标准执行。</w:t>
      </w:r>
    </w:p>
    <w:p w14:paraId="276AC2E2">
      <w:pPr>
        <w:pStyle w:val="149"/>
        <w:spacing w:before="156" w:after="156"/>
      </w:pPr>
      <w:r>
        <w:rPr>
          <w:rFonts w:hint="eastAsia"/>
        </w:rPr>
        <w:t>感官指标检验</w:t>
      </w:r>
    </w:p>
    <w:p w14:paraId="45C32FD8">
      <w:pPr>
        <w:pStyle w:val="154"/>
      </w:pPr>
      <w:r>
        <w:rPr>
          <w:rFonts w:hint="eastAsia"/>
        </w:rPr>
        <w:t>外观</w:t>
      </w:r>
    </w:p>
    <w:p w14:paraId="6C0F3FD7">
      <w:pPr>
        <w:pStyle w:val="153"/>
        <w:numPr>
          <w:ilvl w:val="2"/>
          <w:numId w:val="0"/>
        </w:numPr>
        <w:ind w:left="158" w:leftChars="75" w:firstLine="157" w:firstLineChars="75"/>
      </w:pPr>
      <w:r>
        <w:rPr>
          <w:rFonts w:hint="eastAsia"/>
        </w:rPr>
        <w:t>在自然光下观察外观质量。</w:t>
      </w:r>
    </w:p>
    <w:p w14:paraId="20111B29">
      <w:pPr>
        <w:pStyle w:val="154"/>
      </w:pPr>
      <w:r>
        <w:rPr>
          <w:rFonts w:hint="eastAsia"/>
        </w:rPr>
        <w:t>色泽、组织状态</w:t>
      </w:r>
    </w:p>
    <w:p w14:paraId="4B4BB7B4">
      <w:pPr>
        <w:pStyle w:val="153"/>
        <w:numPr>
          <w:ilvl w:val="2"/>
          <w:numId w:val="0"/>
        </w:numPr>
        <w:ind w:left="158" w:leftChars="75" w:firstLine="157" w:firstLineChars="75"/>
      </w:pPr>
      <w:r>
        <w:rPr>
          <w:rFonts w:hint="eastAsia"/>
        </w:rPr>
        <w:t>从腿心部位斩断火腿，在自然光下观察色泽、组织状态。</w:t>
      </w:r>
    </w:p>
    <w:p w14:paraId="32D35CFE">
      <w:pPr>
        <w:pStyle w:val="154"/>
      </w:pPr>
      <w:r>
        <w:rPr>
          <w:rFonts w:hint="eastAsia"/>
        </w:rPr>
        <w:t>滋味</w:t>
      </w:r>
    </w:p>
    <w:p w14:paraId="71A345A0">
      <w:pPr>
        <w:pStyle w:val="153"/>
        <w:numPr>
          <w:ilvl w:val="2"/>
          <w:numId w:val="0"/>
        </w:numPr>
        <w:ind w:left="158" w:leftChars="75" w:firstLine="157" w:firstLineChars="75"/>
      </w:pPr>
      <w:r>
        <w:rPr>
          <w:rFonts w:hint="eastAsia"/>
        </w:rPr>
        <w:t>在腿心部位切片，直接取样，放入沸水中20min，入口品尝。</w:t>
      </w:r>
    </w:p>
    <w:p w14:paraId="1FB304A9">
      <w:pPr>
        <w:pStyle w:val="154"/>
      </w:pPr>
      <w:r>
        <w:rPr>
          <w:rFonts w:hint="eastAsia"/>
        </w:rPr>
        <w:t>香气</w:t>
      </w:r>
    </w:p>
    <w:p w14:paraId="31C692D9">
      <w:pPr>
        <w:pStyle w:val="153"/>
        <w:numPr>
          <w:ilvl w:val="2"/>
          <w:numId w:val="0"/>
        </w:numPr>
        <w:ind w:left="158" w:leftChars="75" w:firstLine="157" w:firstLineChars="75"/>
      </w:pPr>
      <w:r>
        <w:rPr>
          <w:rFonts w:hint="eastAsia"/>
        </w:rPr>
        <w:t>分别用竹签垂直插入火腿上方位、中方位和下方位的1/3～1/2位置处，随后拔出分别获得一签、二签和三签，迅速嗅其气味。</w:t>
      </w:r>
    </w:p>
    <w:p w14:paraId="29FC654D">
      <w:pPr>
        <w:pStyle w:val="149"/>
        <w:spacing w:before="156" w:after="156"/>
      </w:pPr>
      <w:r>
        <w:rPr>
          <w:rFonts w:hint="eastAsia"/>
        </w:rPr>
        <w:t>理化指标检验</w:t>
      </w:r>
    </w:p>
    <w:p w14:paraId="52C705FA">
      <w:pPr>
        <w:pStyle w:val="154"/>
      </w:pPr>
      <w:r>
        <w:rPr>
          <w:rFonts w:hint="eastAsia"/>
        </w:rPr>
        <w:t>瘦肉比例</w:t>
      </w:r>
    </w:p>
    <w:p w14:paraId="383D1AD7">
      <w:pPr>
        <w:pStyle w:val="153"/>
        <w:numPr>
          <w:ilvl w:val="2"/>
          <w:numId w:val="0"/>
        </w:numPr>
        <w:ind w:left="158" w:leftChars="75" w:firstLine="157" w:firstLineChars="75"/>
      </w:pPr>
      <w:r>
        <w:rPr>
          <w:rFonts w:hint="eastAsia"/>
        </w:rPr>
        <w:t>检测方法参考T/MNHT0001中的8.2。</w:t>
      </w:r>
    </w:p>
    <w:p w14:paraId="1B3B8DD6">
      <w:pPr>
        <w:pStyle w:val="154"/>
      </w:pPr>
      <w:r>
        <w:rPr>
          <w:rFonts w:hint="eastAsia"/>
        </w:rPr>
        <w:t>三甲胺氮</w:t>
      </w:r>
    </w:p>
    <w:p w14:paraId="56BD1B84">
      <w:pPr>
        <w:pStyle w:val="153"/>
        <w:numPr>
          <w:ilvl w:val="2"/>
          <w:numId w:val="0"/>
        </w:numPr>
        <w:ind w:left="158" w:leftChars="75" w:firstLine="157" w:firstLineChars="75"/>
      </w:pPr>
      <w:r>
        <w:rPr>
          <w:rFonts w:hint="eastAsia"/>
        </w:rPr>
        <w:t xml:space="preserve">除去表层因氧化发黄的部分，在火腿的上方、中方和下方各取约100g的瘦肉，切碎混匀后按GB/T </w:t>
      </w:r>
      <w:bookmarkStart w:id="37" w:name="OLE_LINK8"/>
      <w:r>
        <w:rPr>
          <w:rFonts w:hint="eastAsia"/>
        </w:rPr>
        <w:t>5009.179</w:t>
      </w:r>
      <w:bookmarkEnd w:id="37"/>
      <w:r>
        <w:rPr>
          <w:rFonts w:hint="eastAsia"/>
        </w:rPr>
        <w:t>中的方法进行样品前处理和测定。</w:t>
      </w:r>
    </w:p>
    <w:p w14:paraId="2FD56973">
      <w:pPr>
        <w:pStyle w:val="154"/>
      </w:pPr>
      <w:r>
        <w:rPr>
          <w:rFonts w:hint="eastAsia"/>
        </w:rPr>
        <w:t>过氧化值</w:t>
      </w:r>
    </w:p>
    <w:p w14:paraId="293B3A18">
      <w:pPr>
        <w:pStyle w:val="153"/>
        <w:numPr>
          <w:ilvl w:val="2"/>
          <w:numId w:val="0"/>
        </w:numPr>
        <w:ind w:left="158" w:leftChars="75" w:firstLine="157" w:firstLineChars="75"/>
      </w:pPr>
      <w:r>
        <w:rPr>
          <w:rFonts w:hint="eastAsia"/>
        </w:rPr>
        <w:t xml:space="preserve">除去表层因氧化发黄的部分，在火腿的上方、中方和下方各取约100g的肥膘，切碎混匀后按GB/T </w:t>
      </w:r>
      <w:bookmarkStart w:id="38" w:name="OLE_LINK10"/>
      <w:r>
        <w:rPr>
          <w:rFonts w:hint="eastAsia"/>
        </w:rPr>
        <w:t>5009.227</w:t>
      </w:r>
      <w:bookmarkEnd w:id="38"/>
      <w:r>
        <w:rPr>
          <w:rFonts w:hint="eastAsia"/>
        </w:rPr>
        <w:t>中的方法进行样品前处理和测定。取样部位详见附录A。</w:t>
      </w:r>
    </w:p>
    <w:p w14:paraId="603071F9">
      <w:pPr>
        <w:pStyle w:val="154"/>
      </w:pPr>
      <w:r>
        <w:rPr>
          <w:rFonts w:hint="eastAsia"/>
        </w:rPr>
        <w:t>亚硝酸盐</w:t>
      </w:r>
    </w:p>
    <w:p w14:paraId="3D9153B2">
      <w:pPr>
        <w:pStyle w:val="153"/>
        <w:numPr>
          <w:ilvl w:val="2"/>
          <w:numId w:val="0"/>
        </w:numPr>
        <w:ind w:left="158" w:leftChars="75" w:firstLine="157" w:firstLineChars="75"/>
      </w:pPr>
      <w:r>
        <w:rPr>
          <w:rFonts w:hint="eastAsia"/>
        </w:rPr>
        <w:t>除去表层因氧化发黄的部分，在火腿的上方、中方和下方各取约100g样品，按GB 5009.33的规定测定。</w:t>
      </w:r>
    </w:p>
    <w:p w14:paraId="0B449F45">
      <w:pPr>
        <w:pStyle w:val="154"/>
      </w:pPr>
      <w:r>
        <w:rPr>
          <w:rFonts w:hint="eastAsia"/>
        </w:rPr>
        <w:t>水分</w:t>
      </w:r>
    </w:p>
    <w:p w14:paraId="629ED81B">
      <w:pPr>
        <w:pStyle w:val="153"/>
        <w:numPr>
          <w:ilvl w:val="2"/>
          <w:numId w:val="0"/>
        </w:numPr>
        <w:ind w:left="158" w:leftChars="75" w:firstLine="157" w:firstLineChars="75"/>
      </w:pPr>
      <w:r>
        <w:rPr>
          <w:rFonts w:hint="eastAsia"/>
        </w:rPr>
        <w:t>除去表层因氧化发黄的部分，在火腿的上方、中方和下方各取约100g的瘦肉，切碎混匀后按GB/T 5009.3中的方法进行样品前处理和测定。</w:t>
      </w:r>
    </w:p>
    <w:p w14:paraId="02D56CF0">
      <w:pPr>
        <w:pStyle w:val="154"/>
      </w:pPr>
      <w:r>
        <w:rPr>
          <w:rFonts w:hint="eastAsia"/>
        </w:rPr>
        <w:t>盐分</w:t>
      </w:r>
    </w:p>
    <w:p w14:paraId="50C0E098">
      <w:pPr>
        <w:pStyle w:val="153"/>
        <w:numPr>
          <w:ilvl w:val="2"/>
          <w:numId w:val="0"/>
        </w:numPr>
        <w:ind w:left="158" w:leftChars="75" w:firstLine="157" w:firstLineChars="75"/>
      </w:pPr>
      <w:r>
        <w:t>除去表层因氧化发黄的部分，在火腿的上方、中方和下方各取约100g的瘦肉，切碎混匀后按GB/T 5009.44中的方法进行样品前处理和测定。</w:t>
      </w:r>
    </w:p>
    <w:p w14:paraId="127503E9">
      <w:pPr>
        <w:pStyle w:val="149"/>
        <w:spacing w:before="156" w:after="156"/>
      </w:pPr>
      <w:r>
        <w:rPr>
          <w:rFonts w:hint="eastAsia"/>
        </w:rPr>
        <w:t>净含量检验</w:t>
      </w:r>
    </w:p>
    <w:p w14:paraId="2E23C036">
      <w:pPr>
        <w:pStyle w:val="153"/>
        <w:numPr>
          <w:ilvl w:val="2"/>
          <w:numId w:val="0"/>
        </w:numPr>
        <w:ind w:left="158" w:leftChars="75" w:firstLine="157" w:firstLineChars="75"/>
      </w:pPr>
      <w:r>
        <w:rPr>
          <w:rFonts w:hint="eastAsia"/>
        </w:rPr>
        <w:t>按照JJF 1070的规定执行检验。</w:t>
      </w:r>
    </w:p>
    <w:p w14:paraId="2C91A4CB">
      <w:pPr>
        <w:pStyle w:val="148"/>
        <w:spacing w:before="312" w:after="312"/>
      </w:pPr>
      <w:bookmarkStart w:id="39" w:name="_Toc26335"/>
      <w:r>
        <w:rPr>
          <w:rFonts w:hint="eastAsia"/>
        </w:rPr>
        <w:t>成品的贮存与运输</w:t>
      </w:r>
      <w:bookmarkEnd w:id="39"/>
    </w:p>
    <w:p w14:paraId="6A6BDD08">
      <w:pPr>
        <w:pStyle w:val="153"/>
        <w:numPr>
          <w:ilvl w:val="2"/>
          <w:numId w:val="0"/>
        </w:numPr>
        <w:ind w:left="158" w:leftChars="75" w:firstLine="157" w:firstLineChars="75"/>
      </w:pPr>
      <w:r>
        <w:rPr>
          <w:rFonts w:hint="eastAsia"/>
        </w:rPr>
        <w:t>应符合GB 14881中第10章的相关规定。</w:t>
      </w:r>
    </w:p>
    <w:p w14:paraId="470B5B37">
      <w:pPr>
        <w:pStyle w:val="148"/>
        <w:spacing w:before="312" w:after="312"/>
      </w:pPr>
      <w:bookmarkStart w:id="40" w:name="_Toc8389"/>
      <w:r>
        <w:rPr>
          <w:rFonts w:hint="eastAsia"/>
        </w:rPr>
        <w:t>主体责任制落实</w:t>
      </w:r>
      <w:bookmarkEnd w:id="40"/>
    </w:p>
    <w:p w14:paraId="19B7289F">
      <w:pPr>
        <w:pStyle w:val="153"/>
        <w:numPr>
          <w:ilvl w:val="2"/>
          <w:numId w:val="0"/>
        </w:numPr>
        <w:ind w:left="158" w:leftChars="75" w:firstLine="157" w:firstLineChars="75"/>
      </w:pPr>
      <w:r>
        <w:rPr>
          <w:rFonts w:hint="eastAsia"/>
        </w:rPr>
        <w:t>应符合《企业落实食品安全主体责任监督管理规定》的相关规定。</w:t>
      </w:r>
    </w:p>
    <w:p w14:paraId="229E14DC">
      <w:pPr>
        <w:pStyle w:val="148"/>
        <w:spacing w:before="312" w:after="312"/>
      </w:pPr>
      <w:bookmarkStart w:id="41" w:name="_Toc21487"/>
      <w:r>
        <w:rPr>
          <w:rFonts w:hint="eastAsia"/>
        </w:rPr>
        <w:t>产品召回管理</w:t>
      </w:r>
      <w:bookmarkEnd w:id="41"/>
    </w:p>
    <w:p w14:paraId="2592FF22">
      <w:pPr>
        <w:pStyle w:val="153"/>
        <w:numPr>
          <w:ilvl w:val="2"/>
          <w:numId w:val="0"/>
        </w:numPr>
        <w:ind w:left="158" w:leftChars="75" w:firstLine="157" w:firstLineChars="75"/>
      </w:pPr>
      <w:r>
        <w:rPr>
          <w:rFonts w:hint="eastAsia"/>
        </w:rPr>
        <w:t>应符合GB 14881中第11章的相关规定。</w:t>
      </w:r>
    </w:p>
    <w:p w14:paraId="13529292">
      <w:pPr>
        <w:pStyle w:val="148"/>
        <w:spacing w:before="312" w:after="312"/>
      </w:pPr>
      <w:bookmarkStart w:id="42" w:name="_Toc9359"/>
      <w:r>
        <w:rPr>
          <w:rFonts w:hint="eastAsia"/>
        </w:rPr>
        <w:t>培训</w:t>
      </w:r>
      <w:bookmarkEnd w:id="42"/>
    </w:p>
    <w:p w14:paraId="61CDAEFF">
      <w:pPr>
        <w:pStyle w:val="153"/>
        <w:numPr>
          <w:ilvl w:val="2"/>
          <w:numId w:val="0"/>
        </w:numPr>
        <w:ind w:left="158" w:leftChars="75" w:firstLine="157" w:firstLineChars="75"/>
      </w:pPr>
      <w:r>
        <w:rPr>
          <w:rFonts w:hint="eastAsia"/>
        </w:rPr>
        <w:t>应符合GB 14881中第12章的相关规定。</w:t>
      </w:r>
    </w:p>
    <w:p w14:paraId="2ABF632D">
      <w:pPr>
        <w:pStyle w:val="148"/>
        <w:spacing w:before="312" w:after="312"/>
      </w:pPr>
      <w:bookmarkStart w:id="43" w:name="_Toc3655"/>
      <w:r>
        <w:rPr>
          <w:rFonts w:hint="eastAsia"/>
        </w:rPr>
        <w:t>管理制度和人员</w:t>
      </w:r>
      <w:bookmarkEnd w:id="43"/>
    </w:p>
    <w:p w14:paraId="0B4C7677">
      <w:pPr>
        <w:pStyle w:val="153"/>
      </w:pPr>
      <w:r>
        <w:rPr>
          <w:rFonts w:hint="eastAsia"/>
        </w:rPr>
        <w:t>应符合GB 14881中第13章的规定。</w:t>
      </w:r>
    </w:p>
    <w:p w14:paraId="0F6960CA">
      <w:pPr>
        <w:pStyle w:val="153"/>
      </w:pPr>
      <w:r>
        <w:rPr>
          <w:rFonts w:hint="eastAsia"/>
        </w:rPr>
        <w:t>培训完成后应进行必要的考核，考核合格方可上岗。</w:t>
      </w:r>
    </w:p>
    <w:p w14:paraId="58B2E9A4">
      <w:pPr>
        <w:pStyle w:val="148"/>
        <w:spacing w:before="312" w:after="312"/>
      </w:pPr>
      <w:bookmarkStart w:id="44" w:name="_Toc12426"/>
      <w:r>
        <w:rPr>
          <w:rFonts w:hint="eastAsia"/>
        </w:rPr>
        <w:t>文件和记录</w:t>
      </w:r>
      <w:bookmarkEnd w:id="44"/>
    </w:p>
    <w:p w14:paraId="62BA249F">
      <w:pPr>
        <w:pStyle w:val="153"/>
        <w:numPr>
          <w:ilvl w:val="2"/>
          <w:numId w:val="0"/>
        </w:numPr>
        <w:ind w:left="158" w:leftChars="75" w:firstLine="157" w:firstLineChars="75"/>
      </w:pPr>
      <w:r>
        <w:rPr>
          <w:rFonts w:hint="eastAsia"/>
        </w:rPr>
        <w:t>应符合GB 14881中第14章的相关规定。</w:t>
      </w:r>
    </w:p>
    <w:p w14:paraId="1A1BE51F">
      <w:pPr>
        <w:pStyle w:val="17"/>
        <w:ind w:firstLine="0" w:firstLineChars="0"/>
        <w:jc w:val="center"/>
      </w:pPr>
    </w:p>
    <w:p w14:paraId="3B318551">
      <w:pPr>
        <w:pStyle w:val="17"/>
        <w:ind w:firstLine="0" w:firstLineChars="0"/>
        <w:jc w:val="center"/>
      </w:pPr>
      <w:bookmarkStart w:id="45" w:name="_MON_1673871244"/>
      <w:bookmarkEnd w:id="45"/>
      <w:r>
        <w:rPr>
          <w:rFonts w:ascii="Times New Roman"/>
        </w:rPr>
        <w:object>
          <v:shape id="_x0000_i1025" o:spt="75" type="#_x0000_t75" style="height:30pt;width:468pt;" o:ole="t" filled="f" o:preferrelative="t" stroked="f" coordsize="21600,21600">
            <v:path/>
            <v:fill on="f" focussize="0,0"/>
            <v:stroke on="f" joinstyle="miter"/>
            <v:imagedata r:id="rId10" o:title=""/>
            <o:lock v:ext="edit" aspectratio="t"/>
            <w10:wrap type="none"/>
            <w10:anchorlock/>
          </v:shape>
          <o:OLEObject Type="Embed" ProgID="Word.Document.12" ShapeID="_x0000_i1025" DrawAspect="Content" ObjectID="_1468075725" r:id="rId9">
            <o:LockedField>false</o:LockedField>
          </o:OLEObject>
        </w:object>
      </w:r>
    </w:p>
    <w:sectPr>
      <w:headerReference r:id="rId6" w:type="default"/>
      <w:footerReference r:id="rId7" w:type="default"/>
      <w:pgSz w:w="11906" w:h="16838"/>
      <w:pgMar w:top="567" w:right="1134" w:bottom="1134" w:left="1418" w:header="1418" w:footer="737"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14456"/>
    </w:sdtPr>
    <w:sdtContent>
      <w:p w14:paraId="3300ED48">
        <w:pPr>
          <w:pStyle w:val="12"/>
          <w:ind w:firstLine="1080"/>
        </w:pPr>
      </w:p>
    </w:sdtContent>
  </w:sdt>
  <w:p w14:paraId="459BA41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14471"/>
    </w:sdtPr>
    <w:sdtContent>
      <w:p w14:paraId="0C4FC553">
        <w:pPr>
          <w:pStyle w:val="12"/>
          <w:ind w:firstLine="1080"/>
        </w:pPr>
        <w:r>
          <w:fldChar w:fldCharType="begin"/>
        </w:r>
        <w:r>
          <w:instrText xml:space="preserve"> PAGE   \* MERGEFORMAT </w:instrText>
        </w:r>
        <w:r>
          <w:fldChar w:fldCharType="separate"/>
        </w:r>
        <w:r>
          <w:rPr>
            <w:lang w:val="zh-CN"/>
          </w:rPr>
          <w:t>I</w:t>
        </w:r>
        <w:r>
          <w:rPr>
            <w:lang w:val="zh-CN"/>
          </w:rPr>
          <w:fldChar w:fldCharType="end"/>
        </w:r>
      </w:p>
    </w:sdtContent>
  </w:sdt>
  <w:p w14:paraId="6B51B5E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14479"/>
    </w:sdtPr>
    <w:sdtContent>
      <w:p w14:paraId="794A444D">
        <w:pPr>
          <w:pStyle w:val="12"/>
          <w:ind w:firstLine="1080"/>
        </w:pPr>
      </w:p>
      <w:p w14:paraId="312B2BAB">
        <w:pPr>
          <w:pStyle w:val="12"/>
          <w:ind w:firstLine="1080"/>
        </w:pPr>
        <w:r>
          <w:fldChar w:fldCharType="begin"/>
        </w:r>
        <w:r>
          <w:instrText xml:space="preserve"> PAGE   \* MERGEFORMAT </w:instrText>
        </w:r>
        <w:r>
          <w:fldChar w:fldCharType="separate"/>
        </w:r>
        <w:r>
          <w:rPr>
            <w:lang w:val="zh-CN"/>
          </w:rPr>
          <w:t>1</w:t>
        </w:r>
        <w:r>
          <w:rPr>
            <w:lang w:val="zh-CN"/>
          </w:rPr>
          <w:fldChar w:fldCharType="end"/>
        </w:r>
      </w:p>
    </w:sdtContent>
  </w:sdt>
  <w:p w14:paraId="603715F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E063">
    <w:pPr>
      <w:pStyle w:val="34"/>
      <w:ind w:right="42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4481">
    <w:pPr>
      <w:pStyle w:val="34"/>
      <w:ind w:right="42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5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pStyle w:val="4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5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88"/>
      <w:suff w:val="space"/>
      <w:lvlText w:val="%1"/>
      <w:lvlJc w:val="left"/>
      <w:pPr>
        <w:ind w:left="623" w:hanging="425"/>
      </w:pPr>
      <w:rPr>
        <w:rFonts w:hint="eastAsia"/>
      </w:rPr>
    </w:lvl>
    <w:lvl w:ilvl="1" w:tentative="0">
      <w:start w:val="1"/>
      <w:numFmt w:val="decimal"/>
      <w:pStyle w:val="8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38"/>
      <w:suff w:val="nothing"/>
      <w:lvlText w:val="%1——"/>
      <w:lvlJc w:val="left"/>
      <w:pPr>
        <w:ind w:left="833" w:hanging="408"/>
      </w:pPr>
      <w:rPr>
        <w:rFonts w:hint="eastAsia"/>
      </w:rPr>
    </w:lvl>
    <w:lvl w:ilvl="1" w:tentative="0">
      <w:start w:val="1"/>
      <w:numFmt w:val="bullet"/>
      <w:pStyle w:val="39"/>
      <w:lvlText w:val=""/>
      <w:lvlJc w:val="left"/>
      <w:pPr>
        <w:tabs>
          <w:tab w:val="left" w:pos="760"/>
        </w:tabs>
        <w:ind w:left="1264" w:hanging="413"/>
      </w:pPr>
      <w:rPr>
        <w:rFonts w:hint="default" w:ascii="Symbol" w:hAnsi="Symbol"/>
        <w:color w:val="auto"/>
      </w:rPr>
    </w:lvl>
    <w:lvl w:ilvl="2" w:tentative="0">
      <w:start w:val="1"/>
      <w:numFmt w:val="bullet"/>
      <w:pStyle w:val="5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1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4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5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E5D0534"/>
    <w:multiLevelType w:val="multilevel"/>
    <w:tmpl w:val="4E5D0534"/>
    <w:lvl w:ilvl="0" w:tentative="0">
      <w:start w:val="1"/>
      <w:numFmt w:val="decimal"/>
      <w:pStyle w:val="13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4">
    <w:nsid w:val="5603797C"/>
    <w:multiLevelType w:val="multilevel"/>
    <w:tmpl w:val="5603797C"/>
    <w:lvl w:ilvl="0" w:tentative="0">
      <w:start w:val="1"/>
      <w:numFmt w:val="upperLetter"/>
      <w:pStyle w:val="143"/>
      <w:suff w:val="space"/>
      <w:lvlText w:val="%1"/>
      <w:lvlJc w:val="left"/>
      <w:pPr>
        <w:ind w:left="425" w:hanging="425"/>
      </w:pPr>
      <w:rPr>
        <w:rFonts w:hint="eastAsia"/>
      </w:rPr>
    </w:lvl>
    <w:lvl w:ilvl="1" w:tentative="0">
      <w:start w:val="1"/>
      <w:numFmt w:val="decimal"/>
      <w:pStyle w:val="14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0B55DC2"/>
    <w:multiLevelType w:val="multilevel"/>
    <w:tmpl w:val="60B55DC2"/>
    <w:lvl w:ilvl="0" w:tentative="0">
      <w:start w:val="1"/>
      <w:numFmt w:val="upperLetter"/>
      <w:pStyle w:val="76"/>
      <w:lvlText w:val="%1"/>
      <w:lvlJc w:val="left"/>
      <w:pPr>
        <w:tabs>
          <w:tab w:val="left" w:pos="0"/>
        </w:tabs>
        <w:ind w:left="0" w:hanging="425"/>
      </w:pPr>
      <w:rPr>
        <w:rFonts w:hint="eastAsia"/>
      </w:rPr>
    </w:lvl>
    <w:lvl w:ilvl="1" w:tentative="0">
      <w:start w:val="1"/>
      <w:numFmt w:val="decimal"/>
      <w:pStyle w:val="7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pStyle w:val="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CA41985"/>
    <w:multiLevelType w:val="multilevel"/>
    <w:tmpl w:val="6CA41985"/>
    <w:lvl w:ilvl="0" w:tentative="0">
      <w:start w:val="1"/>
      <w:numFmt w:val="decimal"/>
      <w:pStyle w:val="13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48"/>
      <w:suff w:val="nothing"/>
      <w:lvlText w:val="%1%2　"/>
      <w:lvlJc w:val="left"/>
      <w:pPr>
        <w:ind w:left="0" w:firstLine="0"/>
      </w:pPr>
      <w:rPr>
        <w:rFonts w:hint="eastAsia" w:ascii="黑体" w:eastAsia="黑体"/>
        <w:b w:val="0"/>
        <w:i w:val="0"/>
        <w:sz w:val="21"/>
      </w:rPr>
    </w:lvl>
    <w:lvl w:ilvl="2" w:tentative="0">
      <w:start w:val="1"/>
      <w:numFmt w:val="decimal"/>
      <w:pStyle w:val="14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44"/>
      <w:suff w:val="nothing"/>
      <w:lvlText w:val="%1%2.%3.%4　"/>
      <w:lvlJc w:val="left"/>
      <w:pPr>
        <w:ind w:left="0" w:firstLine="0"/>
      </w:pPr>
      <w:rPr>
        <w:rFonts w:hint="eastAsia" w:ascii="黑体" w:eastAsia="黑体"/>
        <w:b w:val="0"/>
        <w:i w:val="0"/>
        <w:sz w:val="21"/>
      </w:rPr>
    </w:lvl>
    <w:lvl w:ilvl="4" w:tentative="0">
      <w:start w:val="1"/>
      <w:numFmt w:val="decimal"/>
      <w:pStyle w:val="145"/>
      <w:suff w:val="nothing"/>
      <w:lvlText w:val="%1%2.%3.%4.%5　"/>
      <w:lvlJc w:val="left"/>
      <w:pPr>
        <w:ind w:left="0" w:firstLine="0"/>
      </w:pPr>
      <w:rPr>
        <w:rFonts w:hint="eastAsia" w:ascii="黑体" w:eastAsia="黑体"/>
        <w:b w:val="0"/>
        <w:i w:val="0"/>
        <w:sz w:val="21"/>
      </w:rPr>
    </w:lvl>
    <w:lvl w:ilvl="5" w:tentative="0">
      <w:start w:val="1"/>
      <w:numFmt w:val="decimal"/>
      <w:pStyle w:val="146"/>
      <w:suff w:val="nothing"/>
      <w:lvlText w:val="%1%2.%3.%4.%5.%6　"/>
      <w:lvlJc w:val="left"/>
      <w:pPr>
        <w:ind w:left="0" w:firstLine="0"/>
      </w:pPr>
      <w:rPr>
        <w:rFonts w:hint="eastAsia" w:ascii="黑体" w:eastAsia="黑体"/>
        <w:b w:val="0"/>
        <w:i w:val="0"/>
        <w:sz w:val="21"/>
      </w:rPr>
    </w:lvl>
    <w:lvl w:ilvl="6" w:tentative="0">
      <w:start w:val="1"/>
      <w:numFmt w:val="decimal"/>
      <w:pStyle w:val="1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95"/>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4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21"/>
  </w:num>
  <w:num w:numId="7">
    <w:abstractNumId w:val="0"/>
  </w:num>
  <w:num w:numId="8">
    <w:abstractNumId w:val="12"/>
  </w:num>
  <w:num w:numId="9">
    <w:abstractNumId w:val="7"/>
  </w:num>
  <w:num w:numId="10">
    <w:abstractNumId w:val="5"/>
  </w:num>
  <w:num w:numId="11">
    <w:abstractNumId w:val="17"/>
  </w:num>
  <w:num w:numId="12">
    <w:abstractNumId w:val="15"/>
  </w:num>
  <w:num w:numId="13">
    <w:abstractNumId w:val="20"/>
  </w:num>
  <w:num w:numId="14">
    <w:abstractNumId w:val="8"/>
  </w:num>
  <w:num w:numId="15">
    <w:abstractNumId w:val="1"/>
  </w:num>
  <w:num w:numId="16">
    <w:abstractNumId w:val="4"/>
  </w:num>
  <w:num w:numId="17">
    <w:abstractNumId w:val="16"/>
  </w:num>
  <w:num w:numId="18">
    <w:abstractNumId w:val="3"/>
  </w:num>
  <w:num w:numId="19">
    <w:abstractNumId w:val="18"/>
  </w:num>
  <w:num w:numId="20">
    <w:abstractNumId w:val="13"/>
  </w:num>
  <w:num w:numId="21">
    <w:abstractNumId w:val="14"/>
  </w:num>
  <w:num w:numId="22">
    <w:abstractNumId w:val="1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N2EwNjU5OTE5MmY0ZTUzZDU5MmFmODBiNTViNzkifQ=="/>
  </w:docVars>
  <w:rsids>
    <w:rsidRoot w:val="00035925"/>
    <w:rsid w:val="00000244"/>
    <w:rsid w:val="0000185F"/>
    <w:rsid w:val="00003252"/>
    <w:rsid w:val="0000586F"/>
    <w:rsid w:val="00013D86"/>
    <w:rsid w:val="00013E02"/>
    <w:rsid w:val="00013E82"/>
    <w:rsid w:val="00016333"/>
    <w:rsid w:val="0002143C"/>
    <w:rsid w:val="00025A65"/>
    <w:rsid w:val="00026C31"/>
    <w:rsid w:val="00027280"/>
    <w:rsid w:val="000320A7"/>
    <w:rsid w:val="00035925"/>
    <w:rsid w:val="00035941"/>
    <w:rsid w:val="000460CE"/>
    <w:rsid w:val="0006681F"/>
    <w:rsid w:val="00067CDF"/>
    <w:rsid w:val="00074FBE"/>
    <w:rsid w:val="00077B10"/>
    <w:rsid w:val="00082E5C"/>
    <w:rsid w:val="00083A09"/>
    <w:rsid w:val="0009005E"/>
    <w:rsid w:val="00092857"/>
    <w:rsid w:val="000A20A9"/>
    <w:rsid w:val="000A48B1"/>
    <w:rsid w:val="000A6772"/>
    <w:rsid w:val="000A7E51"/>
    <w:rsid w:val="000B3143"/>
    <w:rsid w:val="000C6B05"/>
    <w:rsid w:val="000C6DD6"/>
    <w:rsid w:val="000C73D4"/>
    <w:rsid w:val="000D2CF3"/>
    <w:rsid w:val="000D3D4C"/>
    <w:rsid w:val="000D4F51"/>
    <w:rsid w:val="000D718B"/>
    <w:rsid w:val="000E0C46"/>
    <w:rsid w:val="000F030C"/>
    <w:rsid w:val="000F129C"/>
    <w:rsid w:val="000F7790"/>
    <w:rsid w:val="001056DE"/>
    <w:rsid w:val="001124C0"/>
    <w:rsid w:val="00113458"/>
    <w:rsid w:val="00114858"/>
    <w:rsid w:val="00115D6C"/>
    <w:rsid w:val="00117D4C"/>
    <w:rsid w:val="001261C8"/>
    <w:rsid w:val="001265A6"/>
    <w:rsid w:val="00127867"/>
    <w:rsid w:val="0013175F"/>
    <w:rsid w:val="001512B4"/>
    <w:rsid w:val="00157B3D"/>
    <w:rsid w:val="001620A5"/>
    <w:rsid w:val="00162497"/>
    <w:rsid w:val="00164E53"/>
    <w:rsid w:val="0016699D"/>
    <w:rsid w:val="00174E46"/>
    <w:rsid w:val="00175159"/>
    <w:rsid w:val="001755E5"/>
    <w:rsid w:val="00175A59"/>
    <w:rsid w:val="00176208"/>
    <w:rsid w:val="00181F3A"/>
    <w:rsid w:val="0018211B"/>
    <w:rsid w:val="001824ED"/>
    <w:rsid w:val="001840D3"/>
    <w:rsid w:val="001900F8"/>
    <w:rsid w:val="00191258"/>
    <w:rsid w:val="00192680"/>
    <w:rsid w:val="00193037"/>
    <w:rsid w:val="00193A2C"/>
    <w:rsid w:val="001A288E"/>
    <w:rsid w:val="001A2AE3"/>
    <w:rsid w:val="001B59D5"/>
    <w:rsid w:val="001B6632"/>
    <w:rsid w:val="001B6DC2"/>
    <w:rsid w:val="001B72B2"/>
    <w:rsid w:val="001C149C"/>
    <w:rsid w:val="001C21AC"/>
    <w:rsid w:val="001C47BA"/>
    <w:rsid w:val="001C59EA"/>
    <w:rsid w:val="001D15B8"/>
    <w:rsid w:val="001D406C"/>
    <w:rsid w:val="001D41EE"/>
    <w:rsid w:val="001E0380"/>
    <w:rsid w:val="001E13B1"/>
    <w:rsid w:val="001F3A19"/>
    <w:rsid w:val="00206FBD"/>
    <w:rsid w:val="00222743"/>
    <w:rsid w:val="002337F3"/>
    <w:rsid w:val="00234467"/>
    <w:rsid w:val="002372A9"/>
    <w:rsid w:val="00237D8D"/>
    <w:rsid w:val="00241DA2"/>
    <w:rsid w:val="00247FEE"/>
    <w:rsid w:val="00250E7D"/>
    <w:rsid w:val="002548DB"/>
    <w:rsid w:val="002565D5"/>
    <w:rsid w:val="002622C0"/>
    <w:rsid w:val="002759AE"/>
    <w:rsid w:val="00275F63"/>
    <w:rsid w:val="002778AE"/>
    <w:rsid w:val="0028039A"/>
    <w:rsid w:val="0028269A"/>
    <w:rsid w:val="00283590"/>
    <w:rsid w:val="00286973"/>
    <w:rsid w:val="002900C8"/>
    <w:rsid w:val="0029287F"/>
    <w:rsid w:val="00294E70"/>
    <w:rsid w:val="002A1924"/>
    <w:rsid w:val="002A7420"/>
    <w:rsid w:val="002A7EB3"/>
    <w:rsid w:val="002B0F12"/>
    <w:rsid w:val="002B1308"/>
    <w:rsid w:val="002B4554"/>
    <w:rsid w:val="002B7FA8"/>
    <w:rsid w:val="002C72D8"/>
    <w:rsid w:val="002D11FA"/>
    <w:rsid w:val="002D5341"/>
    <w:rsid w:val="002E0DDF"/>
    <w:rsid w:val="002E2906"/>
    <w:rsid w:val="002E363B"/>
    <w:rsid w:val="002E5635"/>
    <w:rsid w:val="002E64C3"/>
    <w:rsid w:val="002E6A2C"/>
    <w:rsid w:val="002F1D8C"/>
    <w:rsid w:val="002F21DA"/>
    <w:rsid w:val="002F2CE1"/>
    <w:rsid w:val="00301E3E"/>
    <w:rsid w:val="00301F39"/>
    <w:rsid w:val="00317A4F"/>
    <w:rsid w:val="00325926"/>
    <w:rsid w:val="00327A8A"/>
    <w:rsid w:val="00334B6C"/>
    <w:rsid w:val="00336610"/>
    <w:rsid w:val="00343F73"/>
    <w:rsid w:val="00345060"/>
    <w:rsid w:val="00347BE0"/>
    <w:rsid w:val="0035323B"/>
    <w:rsid w:val="003609D2"/>
    <w:rsid w:val="00363F22"/>
    <w:rsid w:val="003663FD"/>
    <w:rsid w:val="00375564"/>
    <w:rsid w:val="00382B0F"/>
    <w:rsid w:val="00383191"/>
    <w:rsid w:val="00386DED"/>
    <w:rsid w:val="003912E7"/>
    <w:rsid w:val="00393947"/>
    <w:rsid w:val="003A2275"/>
    <w:rsid w:val="003A6A4F"/>
    <w:rsid w:val="003A7088"/>
    <w:rsid w:val="003B00DF"/>
    <w:rsid w:val="003B0DD7"/>
    <w:rsid w:val="003B1275"/>
    <w:rsid w:val="003B1778"/>
    <w:rsid w:val="003B3ECF"/>
    <w:rsid w:val="003C11CB"/>
    <w:rsid w:val="003C678F"/>
    <w:rsid w:val="003C75F3"/>
    <w:rsid w:val="003C78A3"/>
    <w:rsid w:val="003E1867"/>
    <w:rsid w:val="003E5729"/>
    <w:rsid w:val="003F0E27"/>
    <w:rsid w:val="003F4EE0"/>
    <w:rsid w:val="003F7518"/>
    <w:rsid w:val="00402153"/>
    <w:rsid w:val="00402CB4"/>
    <w:rsid w:val="00402FC1"/>
    <w:rsid w:val="004175A3"/>
    <w:rsid w:val="00422472"/>
    <w:rsid w:val="00422787"/>
    <w:rsid w:val="00423DBA"/>
    <w:rsid w:val="00424945"/>
    <w:rsid w:val="00425082"/>
    <w:rsid w:val="00431DEB"/>
    <w:rsid w:val="00435B09"/>
    <w:rsid w:val="00446B29"/>
    <w:rsid w:val="004473E6"/>
    <w:rsid w:val="00453F9A"/>
    <w:rsid w:val="00456889"/>
    <w:rsid w:val="00463B64"/>
    <w:rsid w:val="00467740"/>
    <w:rsid w:val="00471E91"/>
    <w:rsid w:val="00474675"/>
    <w:rsid w:val="0047470C"/>
    <w:rsid w:val="00474865"/>
    <w:rsid w:val="004A0A0B"/>
    <w:rsid w:val="004A35F9"/>
    <w:rsid w:val="004A3AA4"/>
    <w:rsid w:val="004A6169"/>
    <w:rsid w:val="004B24C1"/>
    <w:rsid w:val="004C292F"/>
    <w:rsid w:val="004F11C8"/>
    <w:rsid w:val="004F21F6"/>
    <w:rsid w:val="00510280"/>
    <w:rsid w:val="00513D73"/>
    <w:rsid w:val="00514A43"/>
    <w:rsid w:val="005174E5"/>
    <w:rsid w:val="00522393"/>
    <w:rsid w:val="00522620"/>
    <w:rsid w:val="00525656"/>
    <w:rsid w:val="00526C2A"/>
    <w:rsid w:val="00534C02"/>
    <w:rsid w:val="0054264B"/>
    <w:rsid w:val="00543786"/>
    <w:rsid w:val="00547798"/>
    <w:rsid w:val="00552431"/>
    <w:rsid w:val="005533D7"/>
    <w:rsid w:val="0056556E"/>
    <w:rsid w:val="00565C81"/>
    <w:rsid w:val="005703DE"/>
    <w:rsid w:val="0058464E"/>
    <w:rsid w:val="00593B48"/>
    <w:rsid w:val="005979B4"/>
    <w:rsid w:val="005A01CB"/>
    <w:rsid w:val="005A58FF"/>
    <w:rsid w:val="005A5EAF"/>
    <w:rsid w:val="005A64C0"/>
    <w:rsid w:val="005B0622"/>
    <w:rsid w:val="005B13BF"/>
    <w:rsid w:val="005B30A5"/>
    <w:rsid w:val="005B3C11"/>
    <w:rsid w:val="005C1C28"/>
    <w:rsid w:val="005C2083"/>
    <w:rsid w:val="005C4B53"/>
    <w:rsid w:val="005C6973"/>
    <w:rsid w:val="005C6DB5"/>
    <w:rsid w:val="005C7F0B"/>
    <w:rsid w:val="005E19E7"/>
    <w:rsid w:val="005E7DE8"/>
    <w:rsid w:val="005F0D35"/>
    <w:rsid w:val="0061716C"/>
    <w:rsid w:val="006243A1"/>
    <w:rsid w:val="00626315"/>
    <w:rsid w:val="00632E56"/>
    <w:rsid w:val="00635CBA"/>
    <w:rsid w:val="0064338B"/>
    <w:rsid w:val="00646542"/>
    <w:rsid w:val="006504F4"/>
    <w:rsid w:val="00654BC9"/>
    <w:rsid w:val="00654E16"/>
    <w:rsid w:val="006552FD"/>
    <w:rsid w:val="00663AF3"/>
    <w:rsid w:val="00666B6C"/>
    <w:rsid w:val="00682682"/>
    <w:rsid w:val="00682702"/>
    <w:rsid w:val="00682CAE"/>
    <w:rsid w:val="00692368"/>
    <w:rsid w:val="006A2EBC"/>
    <w:rsid w:val="006A5EA0"/>
    <w:rsid w:val="006A783B"/>
    <w:rsid w:val="006A7B33"/>
    <w:rsid w:val="006A7D6E"/>
    <w:rsid w:val="006B4E13"/>
    <w:rsid w:val="006B75DD"/>
    <w:rsid w:val="006C67E0"/>
    <w:rsid w:val="006C7ABA"/>
    <w:rsid w:val="006D0D60"/>
    <w:rsid w:val="006D1122"/>
    <w:rsid w:val="006D3C00"/>
    <w:rsid w:val="006D4AA8"/>
    <w:rsid w:val="006D6CF4"/>
    <w:rsid w:val="006D7359"/>
    <w:rsid w:val="006E3675"/>
    <w:rsid w:val="006E4A7F"/>
    <w:rsid w:val="00704DF6"/>
    <w:rsid w:val="0070651C"/>
    <w:rsid w:val="007132A3"/>
    <w:rsid w:val="00716421"/>
    <w:rsid w:val="007201D8"/>
    <w:rsid w:val="007210EF"/>
    <w:rsid w:val="00724EFB"/>
    <w:rsid w:val="00731A07"/>
    <w:rsid w:val="007419C3"/>
    <w:rsid w:val="00744F22"/>
    <w:rsid w:val="00745021"/>
    <w:rsid w:val="007465DB"/>
    <w:rsid w:val="007467A7"/>
    <w:rsid w:val="007469DD"/>
    <w:rsid w:val="0074741B"/>
    <w:rsid w:val="0074759E"/>
    <w:rsid w:val="007478EA"/>
    <w:rsid w:val="0075415C"/>
    <w:rsid w:val="00756E09"/>
    <w:rsid w:val="0076192C"/>
    <w:rsid w:val="00763502"/>
    <w:rsid w:val="00765A9D"/>
    <w:rsid w:val="007913AB"/>
    <w:rsid w:val="007914F7"/>
    <w:rsid w:val="007A1262"/>
    <w:rsid w:val="007A5389"/>
    <w:rsid w:val="007B1625"/>
    <w:rsid w:val="007B706E"/>
    <w:rsid w:val="007B71EB"/>
    <w:rsid w:val="007C6205"/>
    <w:rsid w:val="007C686A"/>
    <w:rsid w:val="007C728E"/>
    <w:rsid w:val="007D2C53"/>
    <w:rsid w:val="007D3D60"/>
    <w:rsid w:val="007E077C"/>
    <w:rsid w:val="007E1980"/>
    <w:rsid w:val="007E4B76"/>
    <w:rsid w:val="007E5EA8"/>
    <w:rsid w:val="007F0CF1"/>
    <w:rsid w:val="007F12A5"/>
    <w:rsid w:val="007F4CF1"/>
    <w:rsid w:val="007F758D"/>
    <w:rsid w:val="007F7D52"/>
    <w:rsid w:val="00804B94"/>
    <w:rsid w:val="0080654C"/>
    <w:rsid w:val="008071C6"/>
    <w:rsid w:val="00817A00"/>
    <w:rsid w:val="00835DB3"/>
    <w:rsid w:val="0083617B"/>
    <w:rsid w:val="008371BD"/>
    <w:rsid w:val="00842DBC"/>
    <w:rsid w:val="008473B8"/>
    <w:rsid w:val="008502CC"/>
    <w:rsid w:val="008504A8"/>
    <w:rsid w:val="0085211B"/>
    <w:rsid w:val="0085282E"/>
    <w:rsid w:val="0087198C"/>
    <w:rsid w:val="00872C1F"/>
    <w:rsid w:val="00873B42"/>
    <w:rsid w:val="00882B0E"/>
    <w:rsid w:val="008856D8"/>
    <w:rsid w:val="00891961"/>
    <w:rsid w:val="00892E82"/>
    <w:rsid w:val="00896C96"/>
    <w:rsid w:val="008B398E"/>
    <w:rsid w:val="008C1B58"/>
    <w:rsid w:val="008C39AE"/>
    <w:rsid w:val="008C590D"/>
    <w:rsid w:val="008E031B"/>
    <w:rsid w:val="008E7029"/>
    <w:rsid w:val="008E7EF6"/>
    <w:rsid w:val="008F0493"/>
    <w:rsid w:val="008F1F98"/>
    <w:rsid w:val="008F6758"/>
    <w:rsid w:val="009040DD"/>
    <w:rsid w:val="00905B47"/>
    <w:rsid w:val="0091331C"/>
    <w:rsid w:val="009215C6"/>
    <w:rsid w:val="00924906"/>
    <w:rsid w:val="009279DE"/>
    <w:rsid w:val="00930116"/>
    <w:rsid w:val="00933F19"/>
    <w:rsid w:val="0094212C"/>
    <w:rsid w:val="00951247"/>
    <w:rsid w:val="00953FE2"/>
    <w:rsid w:val="00954689"/>
    <w:rsid w:val="00956895"/>
    <w:rsid w:val="009617C9"/>
    <w:rsid w:val="00961C93"/>
    <w:rsid w:val="00962D63"/>
    <w:rsid w:val="00965324"/>
    <w:rsid w:val="00970403"/>
    <w:rsid w:val="0097091E"/>
    <w:rsid w:val="009760D3"/>
    <w:rsid w:val="00977132"/>
    <w:rsid w:val="0098093B"/>
    <w:rsid w:val="00981A4B"/>
    <w:rsid w:val="00982501"/>
    <w:rsid w:val="009855F2"/>
    <w:rsid w:val="009877D3"/>
    <w:rsid w:val="009925BA"/>
    <w:rsid w:val="00994E8F"/>
    <w:rsid w:val="009951DC"/>
    <w:rsid w:val="009959BB"/>
    <w:rsid w:val="00997158"/>
    <w:rsid w:val="009A3A7C"/>
    <w:rsid w:val="009B2ADB"/>
    <w:rsid w:val="009B38CF"/>
    <w:rsid w:val="009B603A"/>
    <w:rsid w:val="009B7E4F"/>
    <w:rsid w:val="009C2D0E"/>
    <w:rsid w:val="009C3DAC"/>
    <w:rsid w:val="009C42E0"/>
    <w:rsid w:val="009D062B"/>
    <w:rsid w:val="009D5362"/>
    <w:rsid w:val="009D6FC4"/>
    <w:rsid w:val="009E1415"/>
    <w:rsid w:val="009E2255"/>
    <w:rsid w:val="009E6116"/>
    <w:rsid w:val="00A02E43"/>
    <w:rsid w:val="00A065F9"/>
    <w:rsid w:val="00A07F34"/>
    <w:rsid w:val="00A22154"/>
    <w:rsid w:val="00A25C38"/>
    <w:rsid w:val="00A36BBE"/>
    <w:rsid w:val="00A374BB"/>
    <w:rsid w:val="00A4307A"/>
    <w:rsid w:val="00A47EBB"/>
    <w:rsid w:val="00A51CDD"/>
    <w:rsid w:val="00A60A35"/>
    <w:rsid w:val="00A63021"/>
    <w:rsid w:val="00A641FB"/>
    <w:rsid w:val="00A6730D"/>
    <w:rsid w:val="00A71625"/>
    <w:rsid w:val="00A71AFB"/>
    <w:rsid w:val="00A71B9B"/>
    <w:rsid w:val="00A72DF5"/>
    <w:rsid w:val="00A751C7"/>
    <w:rsid w:val="00A87844"/>
    <w:rsid w:val="00A90F98"/>
    <w:rsid w:val="00A91E0C"/>
    <w:rsid w:val="00AA038C"/>
    <w:rsid w:val="00AA0CCB"/>
    <w:rsid w:val="00AA5939"/>
    <w:rsid w:val="00AA7A09"/>
    <w:rsid w:val="00AB3B50"/>
    <w:rsid w:val="00AB4A3C"/>
    <w:rsid w:val="00AC05B1"/>
    <w:rsid w:val="00AD356C"/>
    <w:rsid w:val="00AE05D4"/>
    <w:rsid w:val="00AE1BDF"/>
    <w:rsid w:val="00AE2914"/>
    <w:rsid w:val="00AE3BDE"/>
    <w:rsid w:val="00AE6D15"/>
    <w:rsid w:val="00AF0365"/>
    <w:rsid w:val="00AF6935"/>
    <w:rsid w:val="00B01407"/>
    <w:rsid w:val="00B04182"/>
    <w:rsid w:val="00B07853"/>
    <w:rsid w:val="00B07AE3"/>
    <w:rsid w:val="00B11430"/>
    <w:rsid w:val="00B155E3"/>
    <w:rsid w:val="00B353EB"/>
    <w:rsid w:val="00B439C4"/>
    <w:rsid w:val="00B4535E"/>
    <w:rsid w:val="00B52A8C"/>
    <w:rsid w:val="00B578CD"/>
    <w:rsid w:val="00B636A8"/>
    <w:rsid w:val="00B665C6"/>
    <w:rsid w:val="00B7688D"/>
    <w:rsid w:val="00B805AF"/>
    <w:rsid w:val="00B83E5E"/>
    <w:rsid w:val="00B869EC"/>
    <w:rsid w:val="00B9397A"/>
    <w:rsid w:val="00B9633D"/>
    <w:rsid w:val="00BA0B75"/>
    <w:rsid w:val="00BA2EBE"/>
    <w:rsid w:val="00BB0F28"/>
    <w:rsid w:val="00BB458A"/>
    <w:rsid w:val="00BB4BEF"/>
    <w:rsid w:val="00BD00D3"/>
    <w:rsid w:val="00BD1659"/>
    <w:rsid w:val="00BD3AA9"/>
    <w:rsid w:val="00BD4A18"/>
    <w:rsid w:val="00BD6DB2"/>
    <w:rsid w:val="00BE11CF"/>
    <w:rsid w:val="00BE21AB"/>
    <w:rsid w:val="00BE4C6A"/>
    <w:rsid w:val="00BE55CB"/>
    <w:rsid w:val="00BF5864"/>
    <w:rsid w:val="00BF5FD1"/>
    <w:rsid w:val="00BF617A"/>
    <w:rsid w:val="00BF6FCE"/>
    <w:rsid w:val="00C0379D"/>
    <w:rsid w:val="00C03931"/>
    <w:rsid w:val="00C05887"/>
    <w:rsid w:val="00C05FE3"/>
    <w:rsid w:val="00C065EF"/>
    <w:rsid w:val="00C2136D"/>
    <w:rsid w:val="00C214EE"/>
    <w:rsid w:val="00C2314B"/>
    <w:rsid w:val="00C23F40"/>
    <w:rsid w:val="00C24971"/>
    <w:rsid w:val="00C26BE5"/>
    <w:rsid w:val="00C26E4D"/>
    <w:rsid w:val="00C27909"/>
    <w:rsid w:val="00C27B03"/>
    <w:rsid w:val="00C314E1"/>
    <w:rsid w:val="00C34397"/>
    <w:rsid w:val="00C3788B"/>
    <w:rsid w:val="00C4095D"/>
    <w:rsid w:val="00C410F6"/>
    <w:rsid w:val="00C449E0"/>
    <w:rsid w:val="00C5577D"/>
    <w:rsid w:val="00C601D2"/>
    <w:rsid w:val="00C6306E"/>
    <w:rsid w:val="00C65BCC"/>
    <w:rsid w:val="00C66970"/>
    <w:rsid w:val="00C74A88"/>
    <w:rsid w:val="00C83479"/>
    <w:rsid w:val="00C8508D"/>
    <w:rsid w:val="00C8691C"/>
    <w:rsid w:val="00CA168A"/>
    <w:rsid w:val="00CA357E"/>
    <w:rsid w:val="00CA44F9"/>
    <w:rsid w:val="00CA4A69"/>
    <w:rsid w:val="00CB208D"/>
    <w:rsid w:val="00CC3039"/>
    <w:rsid w:val="00CC3E0C"/>
    <w:rsid w:val="00CC58D3"/>
    <w:rsid w:val="00CC784D"/>
    <w:rsid w:val="00CE7DF2"/>
    <w:rsid w:val="00CF660F"/>
    <w:rsid w:val="00D0337B"/>
    <w:rsid w:val="00D042F3"/>
    <w:rsid w:val="00D0543F"/>
    <w:rsid w:val="00D079B2"/>
    <w:rsid w:val="00D114E9"/>
    <w:rsid w:val="00D12D33"/>
    <w:rsid w:val="00D325F3"/>
    <w:rsid w:val="00D429C6"/>
    <w:rsid w:val="00D47748"/>
    <w:rsid w:val="00D54CC3"/>
    <w:rsid w:val="00D57D78"/>
    <w:rsid w:val="00D6041A"/>
    <w:rsid w:val="00D633EB"/>
    <w:rsid w:val="00D65489"/>
    <w:rsid w:val="00D655B2"/>
    <w:rsid w:val="00D65D5F"/>
    <w:rsid w:val="00D80CF0"/>
    <w:rsid w:val="00D82FF7"/>
    <w:rsid w:val="00D847FE"/>
    <w:rsid w:val="00D86FF5"/>
    <w:rsid w:val="00D9373C"/>
    <w:rsid w:val="00D949B3"/>
    <w:rsid w:val="00D95881"/>
    <w:rsid w:val="00D964EA"/>
    <w:rsid w:val="00D966D0"/>
    <w:rsid w:val="00DA0C59"/>
    <w:rsid w:val="00DA3991"/>
    <w:rsid w:val="00DB0990"/>
    <w:rsid w:val="00DB44AF"/>
    <w:rsid w:val="00DB7E6C"/>
    <w:rsid w:val="00DC5031"/>
    <w:rsid w:val="00DD2EF1"/>
    <w:rsid w:val="00DD33BC"/>
    <w:rsid w:val="00DD5A29"/>
    <w:rsid w:val="00DD5D9D"/>
    <w:rsid w:val="00DE306F"/>
    <w:rsid w:val="00DE35CB"/>
    <w:rsid w:val="00DF21E9"/>
    <w:rsid w:val="00E00F14"/>
    <w:rsid w:val="00E01F25"/>
    <w:rsid w:val="00E06386"/>
    <w:rsid w:val="00E17200"/>
    <w:rsid w:val="00E22799"/>
    <w:rsid w:val="00E24EB4"/>
    <w:rsid w:val="00E30F68"/>
    <w:rsid w:val="00E320ED"/>
    <w:rsid w:val="00E33918"/>
    <w:rsid w:val="00E33AFB"/>
    <w:rsid w:val="00E34218"/>
    <w:rsid w:val="00E3649C"/>
    <w:rsid w:val="00E37519"/>
    <w:rsid w:val="00E377A4"/>
    <w:rsid w:val="00E42736"/>
    <w:rsid w:val="00E4315D"/>
    <w:rsid w:val="00E46282"/>
    <w:rsid w:val="00E50742"/>
    <w:rsid w:val="00E5216E"/>
    <w:rsid w:val="00E56400"/>
    <w:rsid w:val="00E57813"/>
    <w:rsid w:val="00E613E7"/>
    <w:rsid w:val="00E71DDD"/>
    <w:rsid w:val="00E82344"/>
    <w:rsid w:val="00E8424B"/>
    <w:rsid w:val="00E84C82"/>
    <w:rsid w:val="00E84D64"/>
    <w:rsid w:val="00E87408"/>
    <w:rsid w:val="00E914C4"/>
    <w:rsid w:val="00E92E66"/>
    <w:rsid w:val="00E934F5"/>
    <w:rsid w:val="00E94A6B"/>
    <w:rsid w:val="00E96961"/>
    <w:rsid w:val="00EA72EC"/>
    <w:rsid w:val="00EB11CB"/>
    <w:rsid w:val="00EB275A"/>
    <w:rsid w:val="00EB786A"/>
    <w:rsid w:val="00EC1578"/>
    <w:rsid w:val="00EC1C72"/>
    <w:rsid w:val="00EC3CC9"/>
    <w:rsid w:val="00EC680A"/>
    <w:rsid w:val="00EE248D"/>
    <w:rsid w:val="00EE2BED"/>
    <w:rsid w:val="00EE374B"/>
    <w:rsid w:val="00EF5649"/>
    <w:rsid w:val="00F11BB5"/>
    <w:rsid w:val="00F1417B"/>
    <w:rsid w:val="00F34B99"/>
    <w:rsid w:val="00F425FD"/>
    <w:rsid w:val="00F445EB"/>
    <w:rsid w:val="00F47FF0"/>
    <w:rsid w:val="00F50D2D"/>
    <w:rsid w:val="00F52DAB"/>
    <w:rsid w:val="00F543F0"/>
    <w:rsid w:val="00F66317"/>
    <w:rsid w:val="00F67336"/>
    <w:rsid w:val="00F70152"/>
    <w:rsid w:val="00F73E08"/>
    <w:rsid w:val="00F81D29"/>
    <w:rsid w:val="00F8233F"/>
    <w:rsid w:val="00F82A71"/>
    <w:rsid w:val="00F91C4D"/>
    <w:rsid w:val="00F91C55"/>
    <w:rsid w:val="00F92FD9"/>
    <w:rsid w:val="00F94D3C"/>
    <w:rsid w:val="00F9601D"/>
    <w:rsid w:val="00FA0D8B"/>
    <w:rsid w:val="00FA6684"/>
    <w:rsid w:val="00FA731E"/>
    <w:rsid w:val="00FB2B38"/>
    <w:rsid w:val="00FC6358"/>
    <w:rsid w:val="00FC7D4D"/>
    <w:rsid w:val="00FD01CF"/>
    <w:rsid w:val="00FD320D"/>
    <w:rsid w:val="00FD65D9"/>
    <w:rsid w:val="00FE23DE"/>
    <w:rsid w:val="00FE4E9D"/>
    <w:rsid w:val="00FF6C21"/>
    <w:rsid w:val="06190FCC"/>
    <w:rsid w:val="11951E4E"/>
    <w:rsid w:val="12EE77A9"/>
    <w:rsid w:val="16443A67"/>
    <w:rsid w:val="1BA20DA5"/>
    <w:rsid w:val="26F01525"/>
    <w:rsid w:val="292A1FBD"/>
    <w:rsid w:val="2A7426A5"/>
    <w:rsid w:val="2C7209E0"/>
    <w:rsid w:val="2DDF65FA"/>
    <w:rsid w:val="2E4C2693"/>
    <w:rsid w:val="2ECD0A22"/>
    <w:rsid w:val="39B44677"/>
    <w:rsid w:val="3A9248CD"/>
    <w:rsid w:val="3B450930"/>
    <w:rsid w:val="40680F11"/>
    <w:rsid w:val="418A4550"/>
    <w:rsid w:val="41D65C39"/>
    <w:rsid w:val="42B831B6"/>
    <w:rsid w:val="45F76734"/>
    <w:rsid w:val="4F0F285F"/>
    <w:rsid w:val="549E05E7"/>
    <w:rsid w:val="5D720862"/>
    <w:rsid w:val="5DB46785"/>
    <w:rsid w:val="5EEA0148"/>
    <w:rsid w:val="66955EE5"/>
    <w:rsid w:val="6A743278"/>
    <w:rsid w:val="6B206D9D"/>
    <w:rsid w:val="6CD8019D"/>
    <w:rsid w:val="757D367B"/>
    <w:rsid w:val="757E7ACD"/>
    <w:rsid w:val="7DB5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2"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680" w:hanging="210"/>
      <w:jc w:val="left"/>
    </w:pPr>
    <w:rPr>
      <w:rFonts w:ascii="Calibri" w:hAnsi="Calibri"/>
      <w:sz w:val="20"/>
      <w:szCs w:val="20"/>
    </w:r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index 5"/>
    <w:basedOn w:val="1"/>
    <w:next w:val="1"/>
    <w:qFormat/>
    <w:uiPriority w:val="0"/>
    <w:pPr>
      <w:ind w:left="1050" w:hanging="210"/>
      <w:jc w:val="left"/>
    </w:pPr>
    <w:rPr>
      <w:rFonts w:ascii="Calibri" w:hAnsi="Calibri"/>
      <w:sz w:val="20"/>
      <w:szCs w:val="20"/>
    </w:rPr>
  </w:style>
  <w:style w:type="paragraph" w:styleId="5">
    <w:name w:val="Document Map"/>
    <w:basedOn w:val="1"/>
    <w:semiHidden/>
    <w:qFormat/>
    <w:uiPriority w:val="0"/>
    <w:pPr>
      <w:shd w:val="clear" w:color="auto" w:fill="000080"/>
    </w:pPr>
  </w:style>
  <w:style w:type="paragraph" w:styleId="6">
    <w:name w:val="index 6"/>
    <w:basedOn w:val="1"/>
    <w:next w:val="1"/>
    <w:qFormat/>
    <w:uiPriority w:val="0"/>
    <w:pPr>
      <w:ind w:left="1260" w:hanging="210"/>
      <w:jc w:val="left"/>
    </w:pPr>
    <w:rPr>
      <w:rFonts w:ascii="Calibri" w:hAnsi="Calibri"/>
      <w:sz w:val="20"/>
      <w:szCs w:val="20"/>
    </w:rPr>
  </w:style>
  <w:style w:type="paragraph" w:styleId="7">
    <w:name w:val="index 4"/>
    <w:basedOn w:val="1"/>
    <w:next w:val="1"/>
    <w:qFormat/>
    <w:uiPriority w:val="0"/>
    <w:pPr>
      <w:ind w:left="840" w:hanging="210"/>
      <w:jc w:val="left"/>
    </w:pPr>
    <w:rPr>
      <w:rFonts w:ascii="Calibri" w:hAnsi="Calibri"/>
      <w:sz w:val="20"/>
      <w:szCs w:val="20"/>
    </w:rPr>
  </w:style>
  <w:style w:type="paragraph" w:styleId="8">
    <w:name w:val="Plain Text"/>
    <w:basedOn w:val="1"/>
    <w:qFormat/>
    <w:uiPriority w:val="0"/>
    <w:pPr>
      <w:jc w:val="left"/>
    </w:pPr>
    <w:rPr>
      <w:rFonts w:ascii="MingLiU" w:hAnsi="Courier New" w:eastAsia="MingLiU"/>
      <w:sz w:val="24"/>
      <w:szCs w:val="20"/>
      <w:lang w:eastAsia="zh-TW"/>
    </w:rPr>
  </w:style>
  <w:style w:type="paragraph" w:styleId="9">
    <w:name w:val="index 3"/>
    <w:basedOn w:val="1"/>
    <w:next w:val="1"/>
    <w:qFormat/>
    <w:uiPriority w:val="0"/>
    <w:pPr>
      <w:ind w:left="630" w:hanging="210"/>
      <w:jc w:val="left"/>
    </w:pPr>
    <w:rPr>
      <w:rFonts w:ascii="Calibri" w:hAnsi="Calibri"/>
      <w:sz w:val="20"/>
      <w:szCs w:val="20"/>
    </w:rPr>
  </w:style>
  <w:style w:type="paragraph" w:styleId="10">
    <w:name w:val="endnote text"/>
    <w:basedOn w:val="1"/>
    <w:semiHidden/>
    <w:qFormat/>
    <w:uiPriority w:val="0"/>
    <w:pPr>
      <w:snapToGrid w:val="0"/>
      <w:jc w:val="left"/>
    </w:pPr>
  </w:style>
  <w:style w:type="paragraph" w:styleId="11">
    <w:name w:val="Balloon Text"/>
    <w:basedOn w:val="1"/>
    <w:semiHidden/>
    <w:qFormat/>
    <w:uiPriority w:val="0"/>
    <w:rPr>
      <w:sz w:val="18"/>
      <w:szCs w:val="18"/>
    </w:rPr>
  </w:style>
  <w:style w:type="paragraph" w:styleId="12">
    <w:name w:val="footer"/>
    <w:basedOn w:val="1"/>
    <w:link w:val="156"/>
    <w:qFormat/>
    <w:uiPriority w:val="99"/>
    <w:pPr>
      <w:snapToGrid w:val="0"/>
      <w:ind w:right="210" w:rightChars="100"/>
      <w:jc w:val="right"/>
    </w:pPr>
    <w:rPr>
      <w:sz w:val="18"/>
      <w:szCs w:val="18"/>
    </w:rPr>
  </w:style>
  <w:style w:type="paragraph" w:styleId="13">
    <w:name w:val="header"/>
    <w:basedOn w:val="1"/>
    <w:qFormat/>
    <w:uiPriority w:val="0"/>
    <w:pPr>
      <w:snapToGrid w:val="0"/>
      <w:jc w:val="left"/>
    </w:pPr>
    <w:rPr>
      <w:sz w:val="18"/>
      <w:szCs w:val="18"/>
    </w:rPr>
  </w:style>
  <w:style w:type="paragraph" w:styleId="14">
    <w:name w:val="toc 1"/>
    <w:basedOn w:val="1"/>
    <w:next w:val="1"/>
    <w:unhideWhenUsed/>
    <w:qFormat/>
    <w:uiPriority w:val="39"/>
    <w:pPr>
      <w:adjustRightInd w:val="0"/>
      <w:spacing w:line="400" w:lineRule="exact"/>
    </w:pPr>
    <w:rPr>
      <w:rFonts w:ascii="宋体" w:hAnsi="Calibri"/>
      <w:szCs w:val="21"/>
    </w:rPr>
  </w:style>
  <w:style w:type="paragraph" w:styleId="15">
    <w:name w:val="index heading"/>
    <w:basedOn w:val="1"/>
    <w:next w:val="16"/>
    <w:qFormat/>
    <w:uiPriority w:val="0"/>
    <w:pPr>
      <w:spacing w:before="120" w:after="120"/>
      <w:jc w:val="center"/>
    </w:pPr>
    <w:rPr>
      <w:rFonts w:ascii="Calibri" w:hAnsi="Calibri"/>
      <w:b/>
      <w:bCs/>
      <w:iCs/>
      <w:szCs w:val="20"/>
    </w:rPr>
  </w:style>
  <w:style w:type="paragraph" w:styleId="16">
    <w:name w:val="index 1"/>
    <w:basedOn w:val="1"/>
    <w:next w:val="17"/>
    <w:qFormat/>
    <w:uiPriority w:val="0"/>
    <w:pPr>
      <w:tabs>
        <w:tab w:val="right" w:leader="dot" w:pos="9299"/>
      </w:tabs>
      <w:jc w:val="left"/>
    </w:pPr>
    <w:rPr>
      <w:rFonts w:ascii="宋体"/>
      <w:szCs w:val="21"/>
    </w:rPr>
  </w:style>
  <w:style w:type="paragraph" w:customStyle="1" w:styleId="17">
    <w:name w:val="段"/>
    <w:link w:val="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8">
    <w:name w:val="footnote text"/>
    <w:basedOn w:val="1"/>
    <w:qFormat/>
    <w:uiPriority w:val="0"/>
    <w:pPr>
      <w:numPr>
        <w:ilvl w:val="0"/>
        <w:numId w:val="1"/>
      </w:numPr>
      <w:snapToGrid w:val="0"/>
      <w:jc w:val="left"/>
    </w:pPr>
    <w:rPr>
      <w:rFonts w:ascii="宋体"/>
      <w:sz w:val="18"/>
      <w:szCs w:val="18"/>
    </w:rPr>
  </w:style>
  <w:style w:type="paragraph" w:styleId="19">
    <w:name w:val="index 7"/>
    <w:basedOn w:val="1"/>
    <w:next w:val="1"/>
    <w:qFormat/>
    <w:uiPriority w:val="0"/>
    <w:pPr>
      <w:ind w:left="1470" w:hanging="210"/>
      <w:jc w:val="left"/>
    </w:pPr>
    <w:rPr>
      <w:rFonts w:ascii="Calibri" w:hAnsi="Calibri"/>
      <w:sz w:val="20"/>
      <w:szCs w:val="20"/>
    </w:rPr>
  </w:style>
  <w:style w:type="paragraph" w:styleId="20">
    <w:name w:val="index 9"/>
    <w:basedOn w:val="1"/>
    <w:next w:val="1"/>
    <w:qFormat/>
    <w:uiPriority w:val="0"/>
    <w:pPr>
      <w:ind w:left="1890" w:hanging="210"/>
      <w:jc w:val="left"/>
    </w:pPr>
    <w:rPr>
      <w:rFonts w:ascii="Calibri" w:hAnsi="Calibri"/>
      <w:sz w:val="20"/>
      <w:szCs w:val="20"/>
    </w:rPr>
  </w:style>
  <w:style w:type="paragraph" w:styleId="21">
    <w:name w:val="Normal (Web)"/>
    <w:basedOn w:val="1"/>
    <w:qFormat/>
    <w:uiPriority w:val="2"/>
    <w:rPr>
      <w:sz w:val="24"/>
    </w:rPr>
  </w:style>
  <w:style w:type="paragraph" w:styleId="22">
    <w:name w:val="index 2"/>
    <w:basedOn w:val="1"/>
    <w:next w:val="1"/>
    <w:qFormat/>
    <w:uiPriority w:val="0"/>
    <w:pPr>
      <w:ind w:left="420" w:hanging="210"/>
      <w:jc w:val="left"/>
    </w:pPr>
    <w:rPr>
      <w:rFonts w:ascii="Calibri" w:hAnsi="Calibri"/>
      <w:sz w:val="20"/>
      <w:szCs w:val="20"/>
    </w:rPr>
  </w:style>
  <w:style w:type="table" w:styleId="24">
    <w:name w:val="Table Grid"/>
    <w:basedOn w:val="2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endnote reference"/>
    <w:semiHidden/>
    <w:qFormat/>
    <w:uiPriority w:val="0"/>
    <w:rPr>
      <w:vertAlign w:val="superscript"/>
    </w:rPr>
  </w:style>
  <w:style w:type="character" w:styleId="27">
    <w:name w:val="page number"/>
    <w:qFormat/>
    <w:uiPriority w:val="0"/>
    <w:rPr>
      <w:rFonts w:ascii="Times New Roman" w:hAnsi="Times New Roman" w:eastAsia="宋体"/>
      <w:sz w:val="18"/>
    </w:rPr>
  </w:style>
  <w:style w:type="character" w:styleId="28">
    <w:name w:val="FollowedHyperlink"/>
    <w:qFormat/>
    <w:uiPriority w:val="0"/>
    <w:rPr>
      <w:color w:val="800080"/>
      <w:u w:val="single"/>
    </w:rPr>
  </w:style>
  <w:style w:type="character" w:styleId="29">
    <w:name w:val="Hyperlink"/>
    <w:qFormat/>
    <w:uiPriority w:val="99"/>
    <w:rPr>
      <w:color w:val="0000FF"/>
      <w:spacing w:val="0"/>
      <w:w w:val="100"/>
      <w:szCs w:val="21"/>
      <w:u w:val="single"/>
    </w:rPr>
  </w:style>
  <w:style w:type="character" w:styleId="30">
    <w:name w:val="footnote reference"/>
    <w:semiHidden/>
    <w:qFormat/>
    <w:uiPriority w:val="0"/>
    <w:rPr>
      <w:vertAlign w:val="superscript"/>
    </w:rPr>
  </w:style>
  <w:style w:type="character" w:customStyle="1" w:styleId="31">
    <w:name w:val="段 Char"/>
    <w:link w:val="17"/>
    <w:qFormat/>
    <w:uiPriority w:val="0"/>
    <w:rPr>
      <w:rFonts w:ascii="宋体"/>
      <w:sz w:val="21"/>
      <w:lang w:val="en-US" w:eastAsia="zh-CN" w:bidi="ar-SA"/>
    </w:rPr>
  </w:style>
  <w:style w:type="paragraph" w:customStyle="1" w:styleId="32">
    <w:name w:val="一级条标题"/>
    <w:next w:val="17"/>
    <w:link w:val="13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5">
    <w:name w:val="章标题"/>
    <w:next w:val="17"/>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6">
    <w:name w:val="二级条标题"/>
    <w:basedOn w:val="32"/>
    <w:next w:val="17"/>
    <w:qFormat/>
    <w:uiPriority w:val="0"/>
    <w:pPr>
      <w:numPr>
        <w:ilvl w:val="2"/>
      </w:numPr>
      <w:spacing w:before="50" w:after="50"/>
      <w:outlineLvl w:val="3"/>
    </w:p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3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0">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1">
    <w:name w:val="三级条标题"/>
    <w:basedOn w:val="36"/>
    <w:next w:val="17"/>
    <w:qFormat/>
    <w:uiPriority w:val="0"/>
    <w:pPr>
      <w:numPr>
        <w:ilvl w:val="0"/>
        <w:numId w:val="0"/>
      </w:numPr>
      <w:outlineLvl w:val="4"/>
    </w:pPr>
  </w:style>
  <w:style w:type="paragraph" w:customStyle="1" w:styleId="42">
    <w:name w:val="示例"/>
    <w:next w:val="4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4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4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45">
    <w:name w:val="四级条标题"/>
    <w:basedOn w:val="41"/>
    <w:next w:val="17"/>
    <w:qFormat/>
    <w:uiPriority w:val="0"/>
    <w:pPr>
      <w:numPr>
        <w:ilvl w:val="4"/>
        <w:numId w:val="2"/>
      </w:numPr>
      <w:outlineLvl w:val="5"/>
    </w:pPr>
  </w:style>
  <w:style w:type="paragraph" w:customStyle="1" w:styleId="46">
    <w:name w:val="五级条标题"/>
    <w:basedOn w:val="45"/>
    <w:next w:val="17"/>
    <w:qFormat/>
    <w:uiPriority w:val="0"/>
    <w:pPr>
      <w:numPr>
        <w:ilvl w:val="5"/>
      </w:numPr>
      <w:outlineLvl w:val="6"/>
    </w:pPr>
  </w:style>
  <w:style w:type="paragraph" w:customStyle="1" w:styleId="47">
    <w:name w:val="注："/>
    <w:next w:val="1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4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4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0">
    <w:name w:val="列项◆（三级）"/>
    <w:basedOn w:val="1"/>
    <w:qFormat/>
    <w:uiPriority w:val="0"/>
    <w:pPr>
      <w:numPr>
        <w:ilvl w:val="2"/>
        <w:numId w:val="3"/>
      </w:numPr>
    </w:pPr>
    <w:rPr>
      <w:rFonts w:ascii="宋体"/>
      <w:szCs w:val="21"/>
    </w:rPr>
  </w:style>
  <w:style w:type="paragraph" w:customStyle="1" w:styleId="51">
    <w:name w:val="编号列项（三级）"/>
    <w:qFormat/>
    <w:uiPriority w:val="0"/>
    <w:rPr>
      <w:rFonts w:ascii="宋体" w:hAnsi="Times New Roman" w:eastAsia="宋体" w:cs="Times New Roman"/>
      <w:sz w:val="21"/>
      <w:lang w:val="en-US" w:eastAsia="zh-CN" w:bidi="ar-SA"/>
    </w:rPr>
  </w:style>
  <w:style w:type="paragraph" w:customStyle="1" w:styleId="52">
    <w:name w:val="示例×："/>
    <w:basedOn w:val="35"/>
    <w:qFormat/>
    <w:uiPriority w:val="0"/>
    <w:pPr>
      <w:numPr>
        <w:numId w:val="8"/>
      </w:numPr>
      <w:spacing w:beforeLines="0" w:afterLines="0"/>
      <w:outlineLvl w:val="9"/>
    </w:pPr>
    <w:rPr>
      <w:rFonts w:ascii="宋体" w:eastAsia="宋体"/>
      <w:sz w:val="18"/>
      <w:szCs w:val="18"/>
    </w:rPr>
  </w:style>
  <w:style w:type="paragraph" w:customStyle="1" w:styleId="53">
    <w:name w:val="二级无"/>
    <w:basedOn w:val="36"/>
    <w:qFormat/>
    <w:uiPriority w:val="0"/>
    <w:pPr>
      <w:spacing w:beforeLines="0" w:afterLines="0"/>
    </w:pPr>
    <w:rPr>
      <w:rFonts w:ascii="宋体" w:eastAsia="宋体"/>
    </w:rPr>
  </w:style>
  <w:style w:type="paragraph" w:customStyle="1" w:styleId="54">
    <w:name w:val="注：（正文）"/>
    <w:basedOn w:val="47"/>
    <w:next w:val="17"/>
    <w:qFormat/>
    <w:uiPriority w:val="0"/>
    <w:pPr>
      <w:numPr>
        <w:ilvl w:val="0"/>
        <w:numId w:val="9"/>
      </w:numPr>
    </w:pPr>
  </w:style>
  <w:style w:type="paragraph" w:customStyle="1" w:styleId="5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5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9">
    <w:name w:val="标准书眉_偶数页"/>
    <w:basedOn w:val="34"/>
    <w:next w:val="1"/>
    <w:qFormat/>
    <w:uiPriority w:val="0"/>
    <w:pPr>
      <w:jc w:val="left"/>
    </w:p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参考文献"/>
    <w:basedOn w:val="1"/>
    <w:next w:val="1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2">
    <w:name w:val="参考文献、索引标题"/>
    <w:basedOn w:val="1"/>
    <w:next w:val="1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63">
    <w:name w:val="发布"/>
    <w:qFormat/>
    <w:uiPriority w:val="0"/>
    <w:rPr>
      <w:rFonts w:ascii="黑体" w:eastAsia="黑体"/>
      <w:spacing w:val="85"/>
      <w:w w:val="100"/>
      <w:position w:val="3"/>
      <w:sz w:val="28"/>
      <w:szCs w:val="28"/>
    </w:rPr>
  </w:style>
  <w:style w:type="paragraph" w:customStyle="1" w:styleId="64">
    <w:name w:val="发布部门"/>
    <w:next w:val="1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英文名称"/>
    <w:basedOn w:val="68"/>
    <w:qFormat/>
    <w:uiPriority w:val="0"/>
    <w:pPr>
      <w:framePr w:wrap="around"/>
      <w:spacing w:before="370" w:line="400" w:lineRule="exact"/>
    </w:pPr>
    <w:rPr>
      <w:rFonts w:ascii="Times New Roman"/>
      <w:sz w:val="28"/>
      <w:szCs w:val="28"/>
    </w:rPr>
  </w:style>
  <w:style w:type="paragraph" w:customStyle="1" w:styleId="70">
    <w:name w:val="封面一致性程度标识"/>
    <w:basedOn w:val="69"/>
    <w:qFormat/>
    <w:uiPriority w:val="0"/>
    <w:pPr>
      <w:framePr w:wrap="around"/>
      <w:spacing w:before="440"/>
    </w:pPr>
    <w:rPr>
      <w:rFonts w:ascii="宋体" w:eastAsia="宋体"/>
    </w:rPr>
  </w:style>
  <w:style w:type="paragraph" w:customStyle="1" w:styleId="71">
    <w:name w:val="封面标准文稿类别"/>
    <w:basedOn w:val="70"/>
    <w:qFormat/>
    <w:uiPriority w:val="0"/>
    <w:pPr>
      <w:framePr w:wrap="around"/>
      <w:spacing w:after="160" w:line="240" w:lineRule="auto"/>
    </w:pPr>
    <w:rPr>
      <w:sz w:val="24"/>
    </w:rPr>
  </w:style>
  <w:style w:type="paragraph" w:customStyle="1" w:styleId="72">
    <w:name w:val="封面标准文稿编辑信息"/>
    <w:basedOn w:val="71"/>
    <w:qFormat/>
    <w:uiPriority w:val="0"/>
    <w:pPr>
      <w:framePr w:wrap="around"/>
      <w:spacing w:before="180" w:line="180" w:lineRule="exact"/>
    </w:pPr>
    <w:rPr>
      <w:sz w:val="21"/>
    </w:rPr>
  </w:style>
  <w:style w:type="paragraph" w:customStyle="1" w:styleId="73">
    <w:name w:val="封面正文"/>
    <w:qFormat/>
    <w:uiPriority w:val="0"/>
    <w:pPr>
      <w:jc w:val="both"/>
    </w:pPr>
    <w:rPr>
      <w:rFonts w:ascii="Times New Roman" w:hAnsi="Times New Roman" w:eastAsia="宋体" w:cs="Times New Roman"/>
      <w:lang w:val="en-US" w:eastAsia="zh-CN" w:bidi="ar-SA"/>
    </w:rPr>
  </w:style>
  <w:style w:type="paragraph" w:customStyle="1" w:styleId="74">
    <w:name w:val="附录标识"/>
    <w:basedOn w:val="1"/>
    <w:next w:val="17"/>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5">
    <w:name w:val="附录标题"/>
    <w:basedOn w:val="17"/>
    <w:next w:val="17"/>
    <w:qFormat/>
    <w:uiPriority w:val="0"/>
    <w:pPr>
      <w:ind w:firstLine="0" w:firstLineChars="0"/>
      <w:jc w:val="center"/>
    </w:pPr>
    <w:rPr>
      <w:rFonts w:ascii="黑体" w:eastAsia="黑体"/>
    </w:rPr>
  </w:style>
  <w:style w:type="paragraph" w:customStyle="1" w:styleId="76">
    <w:name w:val="附录表标号"/>
    <w:basedOn w:val="1"/>
    <w:next w:val="1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77">
    <w:name w:val="附录表标题"/>
    <w:basedOn w:val="1"/>
    <w:next w:val="17"/>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78">
    <w:name w:val="附录二级条标题"/>
    <w:basedOn w:val="1"/>
    <w:next w:val="17"/>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9">
    <w:name w:val="附录二级无"/>
    <w:basedOn w:val="78"/>
    <w:qFormat/>
    <w:uiPriority w:val="0"/>
    <w:pPr>
      <w:tabs>
        <w:tab w:val="clear" w:pos="360"/>
      </w:tabs>
      <w:spacing w:beforeLines="0" w:afterLines="0"/>
    </w:pPr>
    <w:rPr>
      <w:rFonts w:ascii="宋体" w:eastAsia="宋体"/>
      <w:szCs w:val="21"/>
    </w:rPr>
  </w:style>
  <w:style w:type="paragraph" w:customStyle="1" w:styleId="80">
    <w:name w:val="附录公式"/>
    <w:basedOn w:val="17"/>
    <w:next w:val="17"/>
    <w:link w:val="81"/>
    <w:qFormat/>
    <w:uiPriority w:val="0"/>
  </w:style>
  <w:style w:type="character" w:customStyle="1" w:styleId="81">
    <w:name w:val="附录公式 Char"/>
    <w:basedOn w:val="31"/>
    <w:link w:val="80"/>
    <w:qFormat/>
    <w:uiPriority w:val="0"/>
    <w:rPr>
      <w:rFonts w:ascii="宋体"/>
      <w:sz w:val="21"/>
      <w:lang w:val="en-US" w:eastAsia="zh-CN" w:bidi="ar-SA"/>
    </w:rPr>
  </w:style>
  <w:style w:type="paragraph" w:customStyle="1" w:styleId="82">
    <w:name w:val="附录公式编号制表符"/>
    <w:basedOn w:val="1"/>
    <w:next w:val="17"/>
    <w:qFormat/>
    <w:uiPriority w:val="0"/>
    <w:pPr>
      <w:widowControl/>
      <w:tabs>
        <w:tab w:val="center" w:pos="4201"/>
        <w:tab w:val="right" w:leader="dot" w:pos="9298"/>
      </w:tabs>
      <w:autoSpaceDE w:val="0"/>
      <w:autoSpaceDN w:val="0"/>
    </w:pPr>
    <w:rPr>
      <w:rFonts w:ascii="宋体"/>
      <w:kern w:val="0"/>
      <w:szCs w:val="20"/>
    </w:rPr>
  </w:style>
  <w:style w:type="paragraph" w:customStyle="1" w:styleId="83">
    <w:name w:val="附录三级条标题"/>
    <w:basedOn w:val="78"/>
    <w:next w:val="17"/>
    <w:qFormat/>
    <w:uiPriority w:val="0"/>
    <w:pPr>
      <w:numPr>
        <w:ilvl w:val="4"/>
      </w:numPr>
      <w:outlineLvl w:val="4"/>
    </w:pPr>
  </w:style>
  <w:style w:type="paragraph" w:customStyle="1" w:styleId="84">
    <w:name w:val="附录三级无"/>
    <w:basedOn w:val="83"/>
    <w:qFormat/>
    <w:uiPriority w:val="0"/>
    <w:pPr>
      <w:tabs>
        <w:tab w:val="clear" w:pos="360"/>
      </w:tabs>
      <w:spacing w:beforeLines="0" w:afterLines="0"/>
    </w:pPr>
    <w:rPr>
      <w:rFonts w:ascii="宋体" w:eastAsia="宋体"/>
      <w:szCs w:val="21"/>
    </w:rPr>
  </w:style>
  <w:style w:type="paragraph" w:customStyle="1" w:styleId="8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86">
    <w:name w:val="附录四级条标题"/>
    <w:basedOn w:val="83"/>
    <w:next w:val="17"/>
    <w:qFormat/>
    <w:uiPriority w:val="0"/>
    <w:pPr>
      <w:numPr>
        <w:ilvl w:val="5"/>
      </w:numPr>
      <w:outlineLvl w:val="5"/>
    </w:pPr>
  </w:style>
  <w:style w:type="paragraph" w:customStyle="1" w:styleId="87">
    <w:name w:val="附录四级无"/>
    <w:basedOn w:val="86"/>
    <w:qFormat/>
    <w:uiPriority w:val="0"/>
    <w:pPr>
      <w:tabs>
        <w:tab w:val="clear" w:pos="360"/>
      </w:tabs>
      <w:spacing w:beforeLines="0" w:afterLines="0"/>
    </w:pPr>
    <w:rPr>
      <w:rFonts w:ascii="宋体" w:eastAsia="宋体"/>
      <w:szCs w:val="21"/>
    </w:rPr>
  </w:style>
  <w:style w:type="paragraph" w:customStyle="1" w:styleId="8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89">
    <w:name w:val="附录图标题"/>
    <w:basedOn w:val="1"/>
    <w:next w:val="17"/>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0">
    <w:name w:val="附录五级条标题"/>
    <w:basedOn w:val="86"/>
    <w:next w:val="17"/>
    <w:qFormat/>
    <w:uiPriority w:val="0"/>
    <w:pPr>
      <w:numPr>
        <w:ilvl w:val="6"/>
      </w:numPr>
      <w:outlineLvl w:val="6"/>
    </w:pPr>
  </w:style>
  <w:style w:type="paragraph" w:customStyle="1" w:styleId="91">
    <w:name w:val="附录五级无"/>
    <w:basedOn w:val="90"/>
    <w:qFormat/>
    <w:uiPriority w:val="0"/>
    <w:pPr>
      <w:tabs>
        <w:tab w:val="clear" w:pos="360"/>
      </w:tabs>
      <w:spacing w:beforeLines="0" w:afterLines="0"/>
    </w:pPr>
    <w:rPr>
      <w:rFonts w:ascii="宋体" w:eastAsia="宋体"/>
      <w:szCs w:val="21"/>
    </w:rPr>
  </w:style>
  <w:style w:type="paragraph" w:customStyle="1" w:styleId="92">
    <w:name w:val="附录章标题"/>
    <w:next w:val="17"/>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附录一级条标题"/>
    <w:basedOn w:val="92"/>
    <w:next w:val="17"/>
    <w:qFormat/>
    <w:uiPriority w:val="0"/>
    <w:pPr>
      <w:numPr>
        <w:ilvl w:val="2"/>
      </w:numPr>
      <w:autoSpaceDN w:val="0"/>
      <w:spacing w:beforeLines="50" w:afterLines="50"/>
      <w:outlineLvl w:val="2"/>
    </w:pPr>
  </w:style>
  <w:style w:type="paragraph" w:customStyle="1" w:styleId="94">
    <w:name w:val="附录一级无"/>
    <w:basedOn w:val="93"/>
    <w:qFormat/>
    <w:uiPriority w:val="0"/>
    <w:pPr>
      <w:tabs>
        <w:tab w:val="clear" w:pos="360"/>
      </w:tabs>
      <w:spacing w:beforeLines="0" w:afterLines="0"/>
    </w:pPr>
    <w:rPr>
      <w:rFonts w:ascii="宋体" w:eastAsia="宋体"/>
      <w:szCs w:val="21"/>
    </w:rPr>
  </w:style>
  <w:style w:type="paragraph" w:customStyle="1" w:styleId="9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9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9">
    <w:name w:val="目录 31"/>
    <w:basedOn w:val="1"/>
    <w:next w:val="1"/>
    <w:semiHidden/>
    <w:qFormat/>
    <w:uiPriority w:val="0"/>
    <w:pPr>
      <w:tabs>
        <w:tab w:val="right" w:leader="dot" w:pos="9241"/>
      </w:tabs>
      <w:ind w:firstLine="100" w:firstLineChars="100"/>
      <w:jc w:val="left"/>
    </w:pPr>
    <w:rPr>
      <w:rFonts w:ascii="宋体"/>
      <w:szCs w:val="21"/>
    </w:rPr>
  </w:style>
  <w:style w:type="paragraph" w:customStyle="1" w:styleId="100">
    <w:name w:val="目录 41"/>
    <w:basedOn w:val="1"/>
    <w:next w:val="1"/>
    <w:semiHidden/>
    <w:qFormat/>
    <w:uiPriority w:val="0"/>
    <w:pPr>
      <w:tabs>
        <w:tab w:val="right" w:leader="dot" w:pos="9241"/>
      </w:tabs>
      <w:ind w:firstLine="200" w:firstLineChars="200"/>
      <w:jc w:val="left"/>
    </w:pPr>
    <w:rPr>
      <w:rFonts w:ascii="宋体"/>
      <w:szCs w:val="21"/>
    </w:rPr>
  </w:style>
  <w:style w:type="paragraph" w:customStyle="1" w:styleId="101">
    <w:name w:val="目录 51"/>
    <w:basedOn w:val="1"/>
    <w:next w:val="1"/>
    <w:semiHidden/>
    <w:qFormat/>
    <w:uiPriority w:val="0"/>
    <w:pPr>
      <w:tabs>
        <w:tab w:val="right" w:leader="dot" w:pos="9241"/>
      </w:tabs>
      <w:ind w:firstLine="300" w:firstLineChars="300"/>
      <w:jc w:val="left"/>
    </w:pPr>
    <w:rPr>
      <w:rFonts w:ascii="宋体"/>
      <w:szCs w:val="21"/>
    </w:rPr>
  </w:style>
  <w:style w:type="paragraph" w:customStyle="1" w:styleId="102">
    <w:name w:val="目录 61"/>
    <w:basedOn w:val="1"/>
    <w:next w:val="1"/>
    <w:semiHidden/>
    <w:qFormat/>
    <w:uiPriority w:val="0"/>
    <w:pPr>
      <w:tabs>
        <w:tab w:val="right" w:leader="dot" w:pos="9241"/>
      </w:tabs>
      <w:ind w:firstLine="400" w:firstLineChars="400"/>
      <w:jc w:val="left"/>
    </w:pPr>
    <w:rPr>
      <w:rFonts w:ascii="宋体"/>
      <w:szCs w:val="21"/>
    </w:rPr>
  </w:style>
  <w:style w:type="paragraph" w:customStyle="1" w:styleId="103">
    <w:name w:val="目录 71"/>
    <w:basedOn w:val="1"/>
    <w:next w:val="1"/>
    <w:semiHidden/>
    <w:qFormat/>
    <w:uiPriority w:val="0"/>
    <w:pPr>
      <w:tabs>
        <w:tab w:val="right" w:leader="dot" w:pos="9241"/>
      </w:tabs>
      <w:ind w:firstLine="500" w:firstLineChars="500"/>
      <w:jc w:val="left"/>
    </w:pPr>
    <w:rPr>
      <w:rFonts w:ascii="宋体"/>
      <w:szCs w:val="21"/>
    </w:rPr>
  </w:style>
  <w:style w:type="paragraph" w:customStyle="1" w:styleId="104">
    <w:name w:val="目录 81"/>
    <w:basedOn w:val="1"/>
    <w:next w:val="1"/>
    <w:semiHidden/>
    <w:qFormat/>
    <w:uiPriority w:val="0"/>
    <w:pPr>
      <w:tabs>
        <w:tab w:val="right" w:leader="dot" w:pos="9241"/>
      </w:tabs>
      <w:ind w:firstLine="607" w:firstLineChars="600"/>
      <w:jc w:val="left"/>
    </w:pPr>
    <w:rPr>
      <w:rFonts w:ascii="宋体"/>
      <w:szCs w:val="21"/>
    </w:rPr>
  </w:style>
  <w:style w:type="paragraph" w:customStyle="1" w:styleId="105">
    <w:name w:val="目录 91"/>
    <w:basedOn w:val="1"/>
    <w:next w:val="1"/>
    <w:semiHidden/>
    <w:qFormat/>
    <w:uiPriority w:val="0"/>
    <w:pPr>
      <w:ind w:left="1470"/>
      <w:jc w:val="left"/>
    </w:pPr>
    <w:rPr>
      <w:sz w:val="20"/>
      <w:szCs w:val="20"/>
    </w:rPr>
  </w:style>
  <w:style w:type="paragraph" w:customStyle="1" w:styleId="106">
    <w:name w:val="其他标准标志"/>
    <w:basedOn w:val="56"/>
    <w:qFormat/>
    <w:uiPriority w:val="0"/>
    <w:pPr>
      <w:framePr w:w="6101" w:wrap="around" w:vAnchor="page" w:hAnchor="page" w:x="4673" w:y="942"/>
    </w:pPr>
    <w:rPr>
      <w:w w:val="130"/>
    </w:rPr>
  </w:style>
  <w:style w:type="paragraph" w:customStyle="1" w:styleId="10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64"/>
    <w:qFormat/>
    <w:uiPriority w:val="0"/>
    <w:pPr>
      <w:framePr w:wrap="around" w:y="15310"/>
      <w:spacing w:line="0" w:lineRule="atLeast"/>
    </w:pPr>
    <w:rPr>
      <w:rFonts w:ascii="黑体" w:eastAsia="黑体"/>
      <w:b w:val="0"/>
    </w:rPr>
  </w:style>
  <w:style w:type="paragraph" w:customStyle="1" w:styleId="109">
    <w:name w:val="前言、引言标题"/>
    <w:next w:val="1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1"/>
    <w:qFormat/>
    <w:uiPriority w:val="0"/>
    <w:pPr>
      <w:spacing w:beforeLines="0" w:afterLines="0"/>
    </w:pPr>
    <w:rPr>
      <w:rFonts w:ascii="宋体" w:eastAsia="宋体"/>
    </w:rPr>
  </w:style>
  <w:style w:type="paragraph" w:customStyle="1" w:styleId="111">
    <w:name w:val="实施日期"/>
    <w:basedOn w:val="65"/>
    <w:qFormat/>
    <w:uiPriority w:val="0"/>
    <w:pPr>
      <w:framePr w:wrap="around" w:vAnchor="page" w:hAnchor="text"/>
      <w:jc w:val="right"/>
    </w:pPr>
  </w:style>
  <w:style w:type="paragraph" w:customStyle="1" w:styleId="112">
    <w:name w:val="示例后文字"/>
    <w:basedOn w:val="17"/>
    <w:next w:val="17"/>
    <w:qFormat/>
    <w:uiPriority w:val="0"/>
    <w:pPr>
      <w:ind w:firstLine="360"/>
    </w:pPr>
    <w:rPr>
      <w:sz w:val="18"/>
    </w:rPr>
  </w:style>
  <w:style w:type="paragraph" w:customStyle="1" w:styleId="113">
    <w:name w:val="首示例"/>
    <w:next w:val="17"/>
    <w:link w:val="11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4">
    <w:name w:val="首示例 Char"/>
    <w:link w:val="113"/>
    <w:qFormat/>
    <w:uiPriority w:val="0"/>
    <w:rPr>
      <w:rFonts w:ascii="宋体" w:hAnsi="宋体"/>
      <w:kern w:val="2"/>
      <w:sz w:val="18"/>
      <w:szCs w:val="18"/>
      <w:lang w:val="en-US" w:eastAsia="zh-CN" w:bidi="ar-SA"/>
    </w:rPr>
  </w:style>
  <w:style w:type="paragraph" w:customStyle="1" w:styleId="115">
    <w:name w:val="四级无"/>
    <w:basedOn w:val="45"/>
    <w:qFormat/>
    <w:uiPriority w:val="0"/>
    <w:pPr>
      <w:spacing w:beforeLines="0" w:afterLines="0"/>
    </w:pPr>
    <w:rPr>
      <w:rFonts w:ascii="宋体" w:eastAsia="宋体"/>
    </w:rPr>
  </w:style>
  <w:style w:type="paragraph" w:customStyle="1" w:styleId="116">
    <w:name w:val="条文脚注"/>
    <w:basedOn w:val="18"/>
    <w:qFormat/>
    <w:uiPriority w:val="0"/>
    <w:pPr>
      <w:numPr>
        <w:numId w:val="0"/>
      </w:numPr>
      <w:jc w:val="both"/>
    </w:pPr>
  </w:style>
  <w:style w:type="paragraph" w:customStyle="1" w:styleId="117">
    <w:name w:val="图标脚注说明"/>
    <w:basedOn w:val="17"/>
    <w:qFormat/>
    <w:uiPriority w:val="0"/>
    <w:pPr>
      <w:ind w:left="840" w:hanging="420" w:firstLineChars="0"/>
    </w:pPr>
    <w:rPr>
      <w:sz w:val="18"/>
      <w:szCs w:val="18"/>
    </w:rPr>
  </w:style>
  <w:style w:type="paragraph" w:customStyle="1" w:styleId="118">
    <w:name w:val="图表脚注说明"/>
    <w:basedOn w:val="1"/>
    <w:qFormat/>
    <w:uiPriority w:val="0"/>
    <w:pPr>
      <w:numPr>
        <w:ilvl w:val="0"/>
        <w:numId w:val="16"/>
      </w:numPr>
    </w:pPr>
    <w:rPr>
      <w:rFonts w:ascii="宋体"/>
      <w:sz w:val="18"/>
      <w:szCs w:val="18"/>
    </w:rPr>
  </w:style>
  <w:style w:type="paragraph" w:customStyle="1" w:styleId="119">
    <w:name w:val="图的脚注"/>
    <w:next w:val="1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46"/>
    <w:qFormat/>
    <w:uiPriority w:val="0"/>
    <w:pPr>
      <w:spacing w:beforeLines="0" w:afterLines="0"/>
    </w:pPr>
    <w:rPr>
      <w:rFonts w:ascii="宋体" w:eastAsia="宋体"/>
    </w:rPr>
  </w:style>
  <w:style w:type="paragraph" w:customStyle="1" w:styleId="122">
    <w:name w:val="一级无"/>
    <w:basedOn w:val="32"/>
    <w:qFormat/>
    <w:uiPriority w:val="0"/>
    <w:pPr>
      <w:spacing w:beforeLines="0" w:afterLines="0"/>
    </w:pPr>
    <w:rPr>
      <w:rFonts w:ascii="宋体" w:eastAsia="宋体"/>
    </w:rPr>
  </w:style>
  <w:style w:type="paragraph" w:customStyle="1" w:styleId="123">
    <w:name w:val="正文表标题"/>
    <w:next w:val="17"/>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正文公式编号制表符"/>
    <w:basedOn w:val="17"/>
    <w:next w:val="17"/>
    <w:qFormat/>
    <w:uiPriority w:val="0"/>
    <w:pPr>
      <w:ind w:firstLine="0" w:firstLineChars="0"/>
    </w:pPr>
  </w:style>
  <w:style w:type="paragraph" w:customStyle="1" w:styleId="125">
    <w:name w:val="正文图标题"/>
    <w:next w:val="17"/>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6">
    <w:name w:val="终结线"/>
    <w:basedOn w:val="1"/>
    <w:qFormat/>
    <w:uiPriority w:val="0"/>
    <w:pPr>
      <w:framePr w:hSpace="181" w:vSpace="181" w:wrap="around" w:vAnchor="text" w:hAnchor="margin" w:xAlign="center" w:y="285"/>
    </w:pPr>
  </w:style>
  <w:style w:type="paragraph" w:customStyle="1" w:styleId="127">
    <w:name w:val="其他发布日期"/>
    <w:basedOn w:val="65"/>
    <w:qFormat/>
    <w:uiPriority w:val="0"/>
    <w:pPr>
      <w:framePr w:wrap="around" w:vAnchor="page" w:hAnchor="text" w:x="1419"/>
    </w:pPr>
  </w:style>
  <w:style w:type="paragraph" w:customStyle="1" w:styleId="128">
    <w:name w:val="其他实施日期"/>
    <w:basedOn w:val="111"/>
    <w:qFormat/>
    <w:uiPriority w:val="0"/>
    <w:pPr>
      <w:framePr w:wrap="around"/>
    </w:pPr>
  </w:style>
  <w:style w:type="paragraph" w:customStyle="1" w:styleId="129">
    <w:name w:val="封面标准名称2"/>
    <w:basedOn w:val="68"/>
    <w:qFormat/>
    <w:uiPriority w:val="0"/>
    <w:pPr>
      <w:framePr w:wrap="around" w:y="4469"/>
      <w:spacing w:beforeLines="630"/>
    </w:pPr>
  </w:style>
  <w:style w:type="paragraph" w:customStyle="1" w:styleId="130">
    <w:name w:val="封面标准英文名称2"/>
    <w:basedOn w:val="69"/>
    <w:qFormat/>
    <w:uiPriority w:val="0"/>
    <w:pPr>
      <w:framePr w:wrap="around" w:y="4469"/>
    </w:pPr>
  </w:style>
  <w:style w:type="paragraph" w:customStyle="1" w:styleId="131">
    <w:name w:val="封面一致性程度标识2"/>
    <w:basedOn w:val="70"/>
    <w:qFormat/>
    <w:uiPriority w:val="0"/>
    <w:pPr>
      <w:framePr w:wrap="around" w:y="4469"/>
    </w:pPr>
  </w:style>
  <w:style w:type="paragraph" w:customStyle="1" w:styleId="132">
    <w:name w:val="封面标准文稿类别2"/>
    <w:basedOn w:val="71"/>
    <w:qFormat/>
    <w:uiPriority w:val="0"/>
    <w:pPr>
      <w:framePr w:wrap="around" w:y="4469"/>
    </w:pPr>
  </w:style>
  <w:style w:type="paragraph" w:customStyle="1" w:styleId="133">
    <w:name w:val="封面标准文稿编辑信息2"/>
    <w:basedOn w:val="72"/>
    <w:qFormat/>
    <w:uiPriority w:val="0"/>
    <w:pPr>
      <w:framePr w:wrap="around" w:y="4469"/>
    </w:pPr>
  </w:style>
  <w:style w:type="character" w:customStyle="1" w:styleId="134">
    <w:name w:val="一级条标题 Char"/>
    <w:link w:val="32"/>
    <w:qFormat/>
    <w:uiPriority w:val="0"/>
    <w:rPr>
      <w:rFonts w:ascii="黑体" w:eastAsia="黑体"/>
      <w:sz w:val="21"/>
      <w:szCs w:val="21"/>
      <w:lang w:val="en-US" w:eastAsia="zh-CN" w:bidi="ar-SA"/>
    </w:rPr>
  </w:style>
  <w:style w:type="paragraph" w:customStyle="1" w:styleId="135">
    <w:name w:val="目录 11"/>
    <w:basedOn w:val="1"/>
    <w:next w:val="1"/>
    <w:semiHidden/>
    <w:qFormat/>
    <w:uiPriority w:val="0"/>
    <w:pPr>
      <w:tabs>
        <w:tab w:val="right" w:leader="dot" w:pos="9242"/>
      </w:tabs>
      <w:spacing w:beforeLines="25" w:afterLines="25"/>
      <w:jc w:val="left"/>
    </w:pPr>
    <w:rPr>
      <w:rFonts w:ascii="宋体"/>
      <w:szCs w:val="21"/>
    </w:rPr>
  </w:style>
  <w:style w:type="paragraph" w:customStyle="1" w:styleId="136">
    <w:name w:val="目录 21"/>
    <w:basedOn w:val="1"/>
    <w:next w:val="1"/>
    <w:semiHidden/>
    <w:qFormat/>
    <w:uiPriority w:val="0"/>
    <w:pPr>
      <w:tabs>
        <w:tab w:val="right" w:leader="dot" w:pos="9242"/>
      </w:tabs>
    </w:pPr>
    <w:rPr>
      <w:rFonts w:ascii="宋体"/>
      <w:szCs w:val="21"/>
    </w:rPr>
  </w:style>
  <w:style w:type="paragraph" w:customStyle="1" w:styleId="137">
    <w:name w:val="标准文件_目录标题"/>
    <w:basedOn w:val="1"/>
    <w:qFormat/>
    <w:uiPriority w:val="0"/>
    <w:pPr>
      <w:adjustRightInd w:val="0"/>
      <w:spacing w:before="480" w:afterLines="150"/>
      <w:jc w:val="center"/>
    </w:pPr>
    <w:rPr>
      <w:rFonts w:ascii="黑体" w:hAnsi="Calibri" w:eastAsia="黑体"/>
      <w:sz w:val="32"/>
      <w:szCs w:val="21"/>
    </w:rPr>
  </w:style>
  <w:style w:type="paragraph" w:customStyle="1" w:styleId="138">
    <w:name w:val="标准文件_数字编号列项"/>
    <w:qFormat/>
    <w:uiPriority w:val="0"/>
    <w:pPr>
      <w:numPr>
        <w:ilvl w:val="0"/>
        <w:numId w:val="19"/>
      </w:numPr>
      <w:jc w:val="both"/>
    </w:pPr>
    <w:rPr>
      <w:rFonts w:ascii="宋体" w:hAnsi="宋体" w:eastAsia="宋体" w:cs="Times New Roman"/>
      <w:sz w:val="21"/>
      <w:lang w:val="en-US" w:eastAsia="zh-CN" w:bidi="ar-SA"/>
    </w:rPr>
  </w:style>
  <w:style w:type="paragraph" w:customStyle="1" w:styleId="139">
    <w:name w:val="标准文件_正文英文图标题"/>
    <w:next w:val="1"/>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40">
    <w:name w:val="标准文件_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标准文件_附录表标题"/>
    <w:next w:val="140"/>
    <w:qFormat/>
    <w:uiPriority w:val="0"/>
    <w:pPr>
      <w:numPr>
        <w:ilvl w:val="1"/>
        <w:numId w:val="21"/>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character" w:customStyle="1" w:styleId="142">
    <w:name w:val="标准文件_段 Char"/>
    <w:link w:val="140"/>
    <w:qFormat/>
    <w:uiPriority w:val="0"/>
    <w:rPr>
      <w:rFonts w:ascii="宋体"/>
      <w:sz w:val="21"/>
    </w:rPr>
  </w:style>
  <w:style w:type="paragraph" w:customStyle="1" w:styleId="143">
    <w:name w:val="标准文件_附录表标号"/>
    <w:basedOn w:val="140"/>
    <w:next w:val="140"/>
    <w:qFormat/>
    <w:uiPriority w:val="0"/>
    <w:pPr>
      <w:numPr>
        <w:ilvl w:val="0"/>
        <w:numId w:val="21"/>
      </w:numPr>
      <w:tabs>
        <w:tab w:val="left" w:pos="840"/>
      </w:tabs>
      <w:spacing w:line="14" w:lineRule="exact"/>
      <w:ind w:left="839" w:firstLine="0" w:firstLineChars="0"/>
      <w:jc w:val="center"/>
    </w:pPr>
    <w:rPr>
      <w:rFonts w:eastAsia="黑体"/>
      <w:vanish/>
      <w:sz w:val="2"/>
    </w:rPr>
  </w:style>
  <w:style w:type="paragraph" w:customStyle="1" w:styleId="144">
    <w:name w:val="标准文件_二级条标题"/>
    <w:next w:val="140"/>
    <w:qFormat/>
    <w:uiPriority w:val="0"/>
    <w:pPr>
      <w:widowControl w:val="0"/>
      <w:numPr>
        <w:ilvl w:val="3"/>
        <w:numId w:val="22"/>
      </w:numPr>
      <w:spacing w:beforeLines="50" w:afterLines="50"/>
      <w:jc w:val="both"/>
      <w:outlineLvl w:val="2"/>
    </w:pPr>
    <w:rPr>
      <w:rFonts w:ascii="黑体" w:hAnsi="Times New Roman" w:eastAsia="黑体" w:cs="Times New Roman"/>
      <w:sz w:val="21"/>
      <w:lang w:val="en-US" w:eastAsia="zh-CN" w:bidi="ar-SA"/>
    </w:rPr>
  </w:style>
  <w:style w:type="paragraph" w:customStyle="1" w:styleId="145">
    <w:name w:val="标准文件_三级条标题"/>
    <w:basedOn w:val="144"/>
    <w:next w:val="140"/>
    <w:qFormat/>
    <w:uiPriority w:val="0"/>
    <w:pPr>
      <w:widowControl/>
      <w:numPr>
        <w:ilvl w:val="4"/>
      </w:numPr>
      <w:outlineLvl w:val="3"/>
    </w:pPr>
  </w:style>
  <w:style w:type="paragraph" w:customStyle="1" w:styleId="146">
    <w:name w:val="标准文件_四级条标题"/>
    <w:next w:val="140"/>
    <w:qFormat/>
    <w:uiPriority w:val="0"/>
    <w:pPr>
      <w:widowControl w:val="0"/>
      <w:numPr>
        <w:ilvl w:val="5"/>
        <w:numId w:val="22"/>
      </w:numPr>
      <w:spacing w:beforeLines="50" w:afterLines="50"/>
      <w:jc w:val="both"/>
      <w:outlineLvl w:val="4"/>
    </w:pPr>
    <w:rPr>
      <w:rFonts w:ascii="黑体" w:hAnsi="Times New Roman" w:eastAsia="黑体" w:cs="Times New Roman"/>
      <w:sz w:val="21"/>
      <w:lang w:val="en-US" w:eastAsia="zh-CN" w:bidi="ar-SA"/>
    </w:rPr>
  </w:style>
  <w:style w:type="paragraph" w:customStyle="1" w:styleId="147">
    <w:name w:val="标准文件_五级条标题"/>
    <w:next w:val="140"/>
    <w:qFormat/>
    <w:uiPriority w:val="0"/>
    <w:pPr>
      <w:widowControl w:val="0"/>
      <w:numPr>
        <w:ilvl w:val="6"/>
        <w:numId w:val="22"/>
      </w:numPr>
      <w:spacing w:beforeLines="50" w:afterLines="50"/>
      <w:jc w:val="both"/>
      <w:outlineLvl w:val="5"/>
    </w:pPr>
    <w:rPr>
      <w:rFonts w:ascii="黑体" w:hAnsi="Times New Roman" w:eastAsia="黑体" w:cs="Times New Roman"/>
      <w:sz w:val="21"/>
      <w:lang w:val="en-US" w:eastAsia="zh-CN" w:bidi="ar-SA"/>
    </w:rPr>
  </w:style>
  <w:style w:type="paragraph" w:customStyle="1" w:styleId="148">
    <w:name w:val="标准文件_章标题"/>
    <w:next w:val="140"/>
    <w:qFormat/>
    <w:uiPriority w:val="0"/>
    <w:pPr>
      <w:numPr>
        <w:ilvl w:val="1"/>
        <w:numId w:val="22"/>
      </w:numPr>
      <w:spacing w:beforeLines="100" w:afterLines="100"/>
      <w:jc w:val="both"/>
      <w:outlineLvl w:val="0"/>
    </w:pPr>
    <w:rPr>
      <w:rFonts w:ascii="黑体" w:hAnsi="Times New Roman" w:eastAsia="黑体" w:cs="Times New Roman"/>
      <w:sz w:val="21"/>
      <w:lang w:val="en-US" w:eastAsia="zh-CN" w:bidi="ar-SA"/>
    </w:rPr>
  </w:style>
  <w:style w:type="paragraph" w:customStyle="1" w:styleId="149">
    <w:name w:val="标准文件_一级条标题"/>
    <w:basedOn w:val="148"/>
    <w:next w:val="140"/>
    <w:qFormat/>
    <w:uiPriority w:val="0"/>
    <w:pPr>
      <w:numPr>
        <w:ilvl w:val="2"/>
      </w:numPr>
      <w:spacing w:beforeLines="50" w:afterLines="50"/>
      <w:outlineLvl w:val="1"/>
    </w:pPr>
  </w:style>
  <w:style w:type="paragraph" w:customStyle="1" w:styleId="150">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51">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152">
    <w:name w:val="前言标题"/>
    <w:next w:val="1"/>
    <w:qFormat/>
    <w:uiPriority w:val="0"/>
    <w:pPr>
      <w:numPr>
        <w:ilvl w:val="0"/>
        <w:numId w:val="2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标准文件_一级无标题"/>
    <w:basedOn w:val="149"/>
    <w:qFormat/>
    <w:uiPriority w:val="0"/>
    <w:pPr>
      <w:spacing w:beforeLines="0" w:afterLines="0"/>
      <w:outlineLvl w:val="9"/>
    </w:pPr>
    <w:rPr>
      <w:rFonts w:ascii="宋体" w:eastAsia="宋体"/>
    </w:rPr>
  </w:style>
  <w:style w:type="paragraph" w:customStyle="1" w:styleId="154">
    <w:name w:val="标准文件_二级无标题"/>
    <w:basedOn w:val="144"/>
    <w:qFormat/>
    <w:uiPriority w:val="0"/>
    <w:pPr>
      <w:spacing w:beforeLines="0" w:afterLines="0"/>
      <w:outlineLvl w:val="9"/>
    </w:pPr>
    <w:rPr>
      <w:rFonts w:ascii="宋体" w:eastAsia="宋体"/>
    </w:rPr>
  </w:style>
  <w:style w:type="paragraph" w:customStyle="1" w:styleId="155">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character" w:customStyle="1" w:styleId="156">
    <w:name w:val="页脚 字符"/>
    <w:basedOn w:val="25"/>
    <w:link w:val="12"/>
    <w:qFormat/>
    <w:uiPriority w:val="99"/>
    <w:rPr>
      <w:kern w:val="2"/>
      <w:sz w:val="18"/>
      <w:szCs w:val="18"/>
    </w:rPr>
  </w:style>
  <w:style w:type="character" w:styleId="157">
    <w:name w:val="Placeholder Text"/>
    <w:basedOn w:val="25"/>
    <w:semiHidden/>
    <w:qFormat/>
    <w:uiPriority w:val="99"/>
    <w:rPr>
      <w:color w:val="808080"/>
    </w:rPr>
  </w:style>
  <w:style w:type="paragraph" w:customStyle="1" w:styleId="15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Document1.docx"/><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0AA2AA181B4E7C95FEB6171D652D59"/>
        <w:style w:val=""/>
        <w:category>
          <w:name w:val="常规"/>
          <w:gallery w:val="placeholder"/>
        </w:category>
        <w:types>
          <w:type w:val="bbPlcHdr"/>
        </w:types>
        <w:behaviors>
          <w:behavior w:val="content"/>
        </w:behaviors>
        <w:description w:val=""/>
        <w:guid w:val="{83B2BF6D-7042-4982-BD47-49EE8F70C552}"/>
      </w:docPartPr>
      <w:docPartBody>
        <w:p w14:paraId="347EBDC8">
          <w:pPr>
            <w:pStyle w:val="5"/>
          </w:pPr>
          <w:r>
            <w:rPr>
              <w:rStyle w:val="4"/>
              <w:rFonts w:hint="eastAsia"/>
            </w:rPr>
            <w:t>选择一项。</w:t>
          </w:r>
        </w:p>
      </w:docPartBody>
    </w:docPart>
    <w:docPart>
      <w:docPartPr>
        <w:name w:val="{bad69947-d6ef-4f0e-b9c3-fc0c833fe7d3}"/>
        <w:style w:val=""/>
        <w:category>
          <w:name w:val="常规"/>
          <w:gallery w:val="placeholder"/>
        </w:category>
        <w:types>
          <w:type w:val="bbPlcHdr"/>
        </w:types>
        <w:behaviors>
          <w:behavior w:val="content"/>
        </w:behaviors>
        <w:description w:val=""/>
        <w:guid w:val="{BAD69947-D6EF-4F0E-B9C3-FC0C833FE7D3}"/>
      </w:docPartPr>
      <w:docPartBody>
        <w:p w14:paraId="7E04F01A">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45468"/>
    <w:rsid w:val="00045468"/>
    <w:rsid w:val="00117D4C"/>
    <w:rsid w:val="001755E5"/>
    <w:rsid w:val="003F1E88"/>
    <w:rsid w:val="00634F50"/>
    <w:rsid w:val="0077690B"/>
    <w:rsid w:val="008332BA"/>
    <w:rsid w:val="009D28D0"/>
    <w:rsid w:val="00B54954"/>
    <w:rsid w:val="00E12DC7"/>
    <w:rsid w:val="00FA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70AA2AA181B4E7C95FEB6171D652D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E8058AC467D4A0AAA12E78CF2E8208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11</Pages>
  <Words>4833</Words>
  <Characters>5530</Characters>
  <Lines>48</Lines>
  <Paragraphs>13</Paragraphs>
  <TotalTime>9</TotalTime>
  <ScaleCrop>false</ScaleCrop>
  <LinksUpToDate>false</LinksUpToDate>
  <CharactersWithSpaces>5761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2020-06-20T06:55:00Z</dcterms:created>
  <dc:creator>CNIS</dc:creator>
  <cp:lastModifiedBy>余丰</cp:lastModifiedBy>
  <cp:lastPrinted>2021-11-26T03:25:00Z</cp:lastPrinted>
  <dcterms:modified xsi:type="dcterms:W3CDTF">2025-08-21T08:38:08Z</dcterms:modified>
  <dc:title>标准名称</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E28D3EFA6A0E483B8BCFBA2E788E4377_13</vt:lpwstr>
  </property>
  <property fmtid="{D5CDD505-2E9C-101B-9397-08002B2CF9AE}" pid="4" name="KSOTemplateDocerSaveRecord">
    <vt:lpwstr>eyJoZGlkIjoiODBjMDQ3NjlmMTVjZWJmNWVlN2M0ODMyMDNiOGM5MjYiLCJ1c2VySWQiOiI1MDU3NDA1MzkifQ==</vt:lpwstr>
  </property>
</Properties>
</file>