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34B5C">
      <w:pPr>
        <w:jc w:val="center"/>
        <w:rPr>
          <w:rFonts w:hint="eastAsia"/>
        </w:rPr>
      </w:pPr>
    </w:p>
    <w:p w14:paraId="4620063F">
      <w:pPr>
        <w:jc w:val="center"/>
        <w:rPr>
          <w:rFonts w:hint="eastAsia"/>
        </w:rPr>
      </w:pPr>
    </w:p>
    <w:p w14:paraId="4ED8375D">
      <w:pPr>
        <w:jc w:val="center"/>
        <w:rPr>
          <w:rFonts w:hint="eastAsia"/>
        </w:rPr>
      </w:pPr>
    </w:p>
    <w:p w14:paraId="0BF3C639">
      <w:pPr>
        <w:jc w:val="center"/>
        <w:rPr>
          <w:rFonts w:hint="eastAsia"/>
        </w:rPr>
      </w:pPr>
    </w:p>
    <w:p w14:paraId="2B87F3EE">
      <w:pPr>
        <w:jc w:val="center"/>
        <w:rPr>
          <w:rFonts w:hint="eastAsia"/>
        </w:rPr>
      </w:pPr>
    </w:p>
    <w:p w14:paraId="54626064">
      <w:pPr>
        <w:jc w:val="center"/>
        <w:rPr>
          <w:rFonts w:hint="eastAsia"/>
        </w:rPr>
      </w:pPr>
    </w:p>
    <w:p w14:paraId="5ED237EB">
      <w:pPr>
        <w:jc w:val="center"/>
        <w:rPr>
          <w:rFonts w:hint="eastAsia"/>
        </w:rPr>
      </w:pPr>
    </w:p>
    <w:p w14:paraId="761EAE00">
      <w:pPr>
        <w:jc w:val="center"/>
        <w:rPr>
          <w:rFonts w:hint="eastAsia"/>
        </w:rPr>
      </w:pPr>
    </w:p>
    <w:p w14:paraId="3100D51D">
      <w:pPr>
        <w:jc w:val="center"/>
        <w:rPr>
          <w:rFonts w:hint="eastAsia"/>
        </w:rPr>
      </w:pPr>
    </w:p>
    <w:p w14:paraId="2EE339EA">
      <w:pPr>
        <w:jc w:val="center"/>
        <w:rPr>
          <w:rFonts w:hint="eastAsia"/>
        </w:rPr>
      </w:pPr>
    </w:p>
    <w:p w14:paraId="5E17FBC8">
      <w:pPr>
        <w:jc w:val="center"/>
        <w:rPr>
          <w:rFonts w:hint="eastAsia"/>
        </w:rPr>
      </w:pPr>
    </w:p>
    <w:p w14:paraId="6CEA9D79">
      <w:pPr>
        <w:jc w:val="center"/>
        <w:rPr>
          <w:rFonts w:hint="eastAsia"/>
        </w:rPr>
      </w:pPr>
    </w:p>
    <w:p w14:paraId="4A252B98">
      <w:pPr>
        <w:jc w:val="center"/>
        <w:rPr>
          <w:rFonts w:hint="eastAsia" w:ascii="方正小标宋简体" w:hAnsi="方正小标宋简体" w:eastAsia="方正小标宋简体" w:cs="方正小标宋简体"/>
          <w:b w:val="0"/>
          <w:bCs w:val="0"/>
          <w:sz w:val="44"/>
          <w:szCs w:val="44"/>
        </w:rPr>
      </w:pPr>
    </w:p>
    <w:p w14:paraId="6765DBE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低Hz饮料</w:t>
      </w:r>
      <w:r>
        <w:rPr>
          <w:rFonts w:hint="eastAsia" w:ascii="方正小标宋简体" w:hAnsi="方正小标宋简体" w:eastAsia="方正小标宋简体" w:cs="方正小标宋简体"/>
          <w:b w:val="0"/>
          <w:bCs w:val="0"/>
          <w:sz w:val="44"/>
          <w:szCs w:val="44"/>
        </w:rPr>
        <w:t>》</w:t>
      </w:r>
    </w:p>
    <w:p w14:paraId="3945D7F4">
      <w:pPr>
        <w:jc w:val="center"/>
        <w:rPr>
          <w:rFonts w:hint="eastAsia" w:ascii="方正小标宋简体" w:hAnsi="方正小标宋简体" w:eastAsia="方正小标宋简体" w:cs="方正小标宋简体"/>
          <w:b w:val="0"/>
          <w:bCs w:val="0"/>
          <w:sz w:val="44"/>
          <w:szCs w:val="44"/>
        </w:rPr>
      </w:pPr>
    </w:p>
    <w:p w14:paraId="782246F7">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编制说明</w:t>
      </w:r>
    </w:p>
    <w:p w14:paraId="565EC92F">
      <w:pPr>
        <w:jc w:val="center"/>
        <w:rPr>
          <w:rFonts w:hint="eastAsia"/>
        </w:rPr>
      </w:pPr>
    </w:p>
    <w:p w14:paraId="7CE9407B">
      <w:pPr>
        <w:jc w:val="center"/>
        <w:rPr>
          <w:rFonts w:hint="eastAsia"/>
        </w:rPr>
      </w:pPr>
    </w:p>
    <w:p w14:paraId="1431476B">
      <w:pPr>
        <w:jc w:val="center"/>
        <w:rPr>
          <w:rFonts w:hint="eastAsia"/>
        </w:rPr>
      </w:pPr>
    </w:p>
    <w:p w14:paraId="2EE89E73">
      <w:pPr>
        <w:jc w:val="center"/>
        <w:rPr>
          <w:rFonts w:hint="eastAsia"/>
        </w:rPr>
      </w:pPr>
    </w:p>
    <w:p w14:paraId="71DD68FB">
      <w:pPr>
        <w:jc w:val="center"/>
        <w:rPr>
          <w:rFonts w:hint="eastAsia"/>
        </w:rPr>
      </w:pPr>
    </w:p>
    <w:p w14:paraId="2D85BBC3">
      <w:pPr>
        <w:jc w:val="center"/>
        <w:rPr>
          <w:rFonts w:hint="eastAsia"/>
        </w:rPr>
      </w:pPr>
    </w:p>
    <w:p w14:paraId="0A80C079">
      <w:pPr>
        <w:jc w:val="center"/>
        <w:rPr>
          <w:rFonts w:hint="eastAsia"/>
        </w:rPr>
      </w:pPr>
    </w:p>
    <w:p w14:paraId="0B9774B0">
      <w:pPr>
        <w:jc w:val="center"/>
        <w:rPr>
          <w:rFonts w:hint="eastAsia"/>
        </w:rPr>
      </w:pPr>
    </w:p>
    <w:p w14:paraId="1F47B754">
      <w:pPr>
        <w:jc w:val="center"/>
        <w:rPr>
          <w:rFonts w:hint="eastAsia"/>
        </w:rPr>
      </w:pPr>
    </w:p>
    <w:p w14:paraId="72C1EF83">
      <w:pPr>
        <w:jc w:val="center"/>
        <w:rPr>
          <w:rFonts w:hint="eastAsia"/>
        </w:rPr>
      </w:pPr>
    </w:p>
    <w:p w14:paraId="6A125858">
      <w:pPr>
        <w:jc w:val="center"/>
        <w:rPr>
          <w:rFonts w:hint="eastAsia"/>
        </w:rPr>
      </w:pPr>
    </w:p>
    <w:p w14:paraId="5F0B2DF2">
      <w:pPr>
        <w:jc w:val="center"/>
        <w:rPr>
          <w:rFonts w:hint="eastAsia"/>
        </w:rPr>
      </w:pPr>
    </w:p>
    <w:p w14:paraId="4FA93C67">
      <w:pPr>
        <w:jc w:val="center"/>
        <w:rPr>
          <w:rFonts w:hint="eastAsia"/>
        </w:rPr>
      </w:pPr>
    </w:p>
    <w:p w14:paraId="6A95C35E">
      <w:pPr>
        <w:jc w:val="center"/>
        <w:rPr>
          <w:rFonts w:hint="eastAsia"/>
        </w:rPr>
      </w:pPr>
    </w:p>
    <w:p w14:paraId="014724A3">
      <w:pPr>
        <w:jc w:val="center"/>
        <w:rPr>
          <w:rFonts w:hint="eastAsia"/>
        </w:rPr>
      </w:pPr>
    </w:p>
    <w:p w14:paraId="76DCC3C8">
      <w:pPr>
        <w:jc w:val="center"/>
        <w:rPr>
          <w:rFonts w:hint="eastAsia"/>
        </w:rPr>
      </w:pPr>
    </w:p>
    <w:p w14:paraId="76B54C9C">
      <w:pPr>
        <w:jc w:val="center"/>
        <w:rPr>
          <w:rFonts w:hint="eastAsia" w:ascii="宋体" w:hAnsi="宋体" w:eastAsia="宋体"/>
          <w:sz w:val="28"/>
          <w:szCs w:val="28"/>
        </w:rPr>
      </w:pPr>
      <w:r>
        <w:rPr>
          <w:rFonts w:hint="eastAsia" w:ascii="宋体" w:hAnsi="宋体" w:eastAsia="宋体"/>
          <w:sz w:val="28"/>
          <w:szCs w:val="28"/>
        </w:rPr>
        <w:t>团标起草组</w:t>
      </w:r>
    </w:p>
    <w:p w14:paraId="697C1C3D">
      <w:pPr>
        <w:jc w:val="center"/>
        <w:rPr>
          <w:rFonts w:hint="eastAsia" w:ascii="宋体" w:hAnsi="宋体" w:eastAsia="宋体"/>
          <w:sz w:val="28"/>
          <w:szCs w:val="28"/>
        </w:rPr>
      </w:pPr>
    </w:p>
    <w:p w14:paraId="2EE85AEA">
      <w:pPr>
        <w:jc w:val="center"/>
        <w:rPr>
          <w:rFonts w:hint="eastAsia" w:ascii="宋体" w:hAnsi="宋体" w:eastAsia="宋体"/>
          <w:sz w:val="28"/>
          <w:szCs w:val="28"/>
        </w:rPr>
      </w:pPr>
      <w:r>
        <w:rPr>
          <w:rFonts w:hint="eastAsia" w:ascii="宋体" w:hAnsi="宋体" w:eastAsia="宋体"/>
          <w:sz w:val="28"/>
          <w:szCs w:val="28"/>
        </w:rPr>
        <w:t>二○二六年</w:t>
      </w:r>
      <w:r>
        <w:rPr>
          <w:rFonts w:hint="eastAsia" w:ascii="宋体" w:hAnsi="宋体" w:eastAsia="宋体"/>
          <w:sz w:val="28"/>
          <w:szCs w:val="28"/>
          <w:lang w:val="en-US" w:eastAsia="zh-CN"/>
        </w:rPr>
        <w:t>四</w:t>
      </w:r>
      <w:r>
        <w:rPr>
          <w:rFonts w:hint="eastAsia" w:ascii="宋体" w:hAnsi="宋体" w:eastAsia="宋体"/>
          <w:sz w:val="28"/>
          <w:szCs w:val="28"/>
        </w:rPr>
        <w:t>月</w:t>
      </w:r>
    </w:p>
    <w:p w14:paraId="39185AA5">
      <w:pPr>
        <w:jc w:val="center"/>
        <w:rPr>
          <w:rFonts w:hint="eastAsia" w:ascii="宋体" w:hAnsi="宋体" w:eastAsia="宋体"/>
          <w:sz w:val="28"/>
          <w:szCs w:val="28"/>
        </w:rPr>
      </w:pPr>
    </w:p>
    <w:p w14:paraId="6AB34E76">
      <w:pPr>
        <w:jc w:val="center"/>
        <w:rPr>
          <w:rFonts w:hint="eastAsia" w:ascii="宋体" w:hAnsi="宋体" w:eastAsia="宋体"/>
          <w:sz w:val="28"/>
          <w:szCs w:val="28"/>
        </w:rPr>
      </w:pPr>
    </w:p>
    <w:p w14:paraId="4D96EB21">
      <w:pPr>
        <w:jc w:val="center"/>
        <w:rPr>
          <w:rFonts w:hint="eastAsia" w:ascii="宋体" w:hAnsi="宋体" w:eastAsia="宋体"/>
          <w:sz w:val="28"/>
          <w:szCs w:val="28"/>
        </w:rPr>
      </w:pPr>
    </w:p>
    <w:p w14:paraId="7B87C272">
      <w:pPr>
        <w:widowControl/>
        <w:jc w:val="left"/>
        <w:rPr>
          <w:rFonts w:hint="eastAsia" w:ascii="宋体" w:hAnsi="宋体" w:eastAsia="宋体"/>
          <w:sz w:val="28"/>
          <w:szCs w:val="28"/>
        </w:rPr>
      </w:pPr>
      <w:r>
        <w:rPr>
          <w:rFonts w:ascii="宋体" w:hAnsi="宋体" w:eastAsia="宋体"/>
          <w:sz w:val="28"/>
          <w:szCs w:val="28"/>
        </w:rPr>
        <w:br w:type="page"/>
      </w:r>
    </w:p>
    <w:p w14:paraId="042CBB55">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71AA2F2E">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1D23BEB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本标准由活力王（重庆）生物科技有限公司提出，四川省食品饮料产业协会归口，经该团体2025年度团体标准立项评审会审议通过，正式列入2025年度团体标准制定计划。</w:t>
      </w:r>
    </w:p>
    <w:p w14:paraId="781BD02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立项申报阶段，由活力王（重庆）生物科技有限公司牵头，联合重庆古今健康科技有限公司、重庆绿泓环保科技有限公司、经纬数字经济技术产业（重庆）有限公司、中俄生命研究院有限公司共同组建起草工作组。工作组基于低频物理处理水技术在饮料行业的创新应用需求，结合相关食品安全国家标准及行业政策导向，完成立项论证、可行性分析及草案框架设计，为标准编制奠定坚实基础。</w:t>
      </w:r>
    </w:p>
    <w:p w14:paraId="5C414137">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背景及目的</w:t>
      </w:r>
    </w:p>
    <w:p w14:paraId="33422C33">
      <w:pPr>
        <w:spacing w:line="360" w:lineRule="auto"/>
        <w:ind w:firstLine="560" w:firstLineChars="200"/>
        <w:jc w:val="left"/>
        <w:rPr>
          <w:rFonts w:hint="eastAsia" w:ascii="宋体" w:hAnsi="宋体" w:eastAsia="宋体"/>
          <w:bCs/>
          <w:sz w:val="28"/>
          <w:szCs w:val="28"/>
          <w:lang w:val="en-US" w:eastAsia="zh-CN"/>
        </w:rPr>
      </w:pPr>
      <w:r>
        <w:rPr>
          <w:rFonts w:hint="eastAsia" w:ascii="宋体" w:hAnsi="宋体" w:eastAsia="宋体"/>
          <w:bCs/>
          <w:sz w:val="28"/>
          <w:szCs w:val="28"/>
          <w:lang w:val="en-US" w:eastAsia="zh-CN"/>
        </w:rPr>
        <w:t>近年来，消费者对健康饮品的需求持续增长，功能型饮料、营养素补充类饮料等细分市场快速发展。低频物理处理水技术作为一种新兴的水处理工艺，通过磁化、矿化等方式优化水分子团簇结构，据研究可提升水分子的生物利用度。然而，目前国内尚无专门针对以低频水为基质的饮料产品的统一标准，导致企业在产品定位、技术指标、检测方法等方面缺乏规范依据，市场存在产品质量参差不齐、功效宣传混乱等问题。</w:t>
      </w:r>
    </w:p>
    <w:p w14:paraId="6B5AE082">
      <w:pPr>
        <w:spacing w:line="360" w:lineRule="auto"/>
        <w:ind w:firstLine="560" w:firstLineChars="200"/>
        <w:jc w:val="left"/>
        <w:rPr>
          <w:rFonts w:hint="eastAsia" w:ascii="宋体" w:hAnsi="宋体" w:eastAsia="宋体"/>
          <w:bCs/>
          <w:sz w:val="28"/>
          <w:szCs w:val="28"/>
          <w:lang w:val="en-US" w:eastAsia="zh-CN"/>
        </w:rPr>
      </w:pPr>
      <w:r>
        <w:rPr>
          <w:rFonts w:hint="eastAsia" w:ascii="宋体" w:hAnsi="宋体" w:eastAsia="宋体"/>
          <w:bCs/>
          <w:sz w:val="28"/>
          <w:szCs w:val="28"/>
          <w:lang w:val="en-US" w:eastAsia="zh-CN"/>
        </w:rPr>
        <w:t>现行的国家标准《食品安全国家标准 饮料》（GB 7101）作为通用性基础标准，虽对饮料的微生物、污染物等安全指标作出规定，但未能涵盖低频处理饮料的特殊技术要求（如半辐宽指标、矿物质及维生素强化范围等）。此外，部分企业存在添加量不合规、标签标识不规范等问题，不仅影响消费者权益，也制约了行业健康有序发展。</w:t>
      </w:r>
    </w:p>
    <w:p w14:paraId="771D5BB9">
      <w:pPr>
        <w:spacing w:line="360" w:lineRule="auto"/>
        <w:jc w:val="left"/>
        <w:rPr>
          <w:rFonts w:hint="eastAsia" w:ascii="宋体" w:hAnsi="宋体" w:eastAsia="宋体"/>
          <w:bCs/>
          <w:sz w:val="28"/>
          <w:szCs w:val="28"/>
          <w:lang w:val="en-US" w:eastAsia="zh-CN"/>
        </w:rPr>
      </w:pPr>
      <w:r>
        <w:rPr>
          <w:rFonts w:hint="eastAsia" w:ascii="宋体" w:hAnsi="宋体" w:eastAsia="宋体"/>
          <w:bCs/>
          <w:sz w:val="28"/>
          <w:szCs w:val="28"/>
          <w:lang w:val="en-US" w:eastAsia="zh-CN"/>
        </w:rPr>
        <w:t>为破解上述痛点，本标准编制旨在：一是填补低频处理饮料领域的团体标准空白，构建与强制性国家标准衔接、兼顾产业创新特性的技术规范体系，明确原料要求、理化指标、矿物质及维生素强化范围、微生物限量等核心技术要求；二是规范市场秩序，引导企业合规生产，淘汰落后产能，推动产业从概念炒作向技术驱动转型；三是保障消费者健康，明确营养强化剂的合规使用范围，防止超范围、超剂量添加；四是助力产业升级，推广低频物理处理技术在饮料行业的规范化应用，提升产品的技术含量与市场公信力。</w:t>
      </w:r>
    </w:p>
    <w:p w14:paraId="0D57C5A1">
      <w:pPr>
        <w:spacing w:line="360" w:lineRule="auto"/>
        <w:ind w:firstLine="560" w:firstLineChars="200"/>
        <w:jc w:val="left"/>
        <w:rPr>
          <w:rFonts w:hint="eastAsia" w:ascii="宋体" w:hAnsi="宋体" w:eastAsia="宋体"/>
          <w:bCs/>
          <w:sz w:val="28"/>
          <w:szCs w:val="28"/>
          <w:lang w:val="en-US" w:eastAsia="zh-CN"/>
        </w:rPr>
      </w:pPr>
      <w:r>
        <w:rPr>
          <w:rFonts w:hint="eastAsia" w:ascii="宋体" w:hAnsi="宋体" w:eastAsia="宋体"/>
          <w:bCs/>
          <w:sz w:val="28"/>
          <w:szCs w:val="28"/>
          <w:lang w:val="en-US" w:eastAsia="zh-CN"/>
        </w:rPr>
        <w:t>本标准的实施，将为生产企业、监管机构及第三方检测提供清晰的技术依据，推动低频处理饮料产业朝着标准化、规范化、高质量的方向发展。</w:t>
      </w:r>
    </w:p>
    <w:p w14:paraId="7DD951F3">
      <w:pPr>
        <w:spacing w:line="360" w:lineRule="auto"/>
        <w:jc w:val="left"/>
        <w:rPr>
          <w:rFonts w:hint="eastAsia"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p>
    <w:p w14:paraId="4C36819A">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1、项目立项阶段</w:t>
      </w:r>
    </w:p>
    <w:p w14:paraId="357B3D8F">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2025年11月20日，活力王（重庆）生物科技有限公司向四川省食品饮料产业协会提出《低Hz饮料》团体标准立项申请。2025年12月12日，协会组织专家赴企业实地调研，就技术可行性、市场必要性等进行论证，并提出立项建议。2025年12月17日至12月25日，协会通过协会网站及自有宣传渠道进行立项公示，公示期间无异议，正式批准立项。</w:t>
      </w:r>
    </w:p>
    <w:p w14:paraId="7656FF46">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2、理论研究阶段</w:t>
      </w:r>
    </w:p>
    <w:p w14:paraId="1F695B87">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标准起草组成立伊始，就低频物理处理水技术及相关饮料标准进行了深入的调查研究，广泛搜集国内外相关技术资料、国家标准（GB 14880、GB 2760、GB 7101等）及行业规范，进行了大量的研究分析、资料查证工作。起草组重点研究了水分子团簇结构的表征方法（如&lt;sup&gt;17&lt;/sup&gt;O-NMR半辐宽检测）、矿物质及维生素在饮料中的强化限量要求，结合行业实际应用经验，确定了标准的制定原则，为标准的起草奠定了基础。</w:t>
      </w:r>
    </w:p>
    <w:p w14:paraId="2A178DF7">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3、标准起草阶段</w:t>
      </w:r>
    </w:p>
    <w:p w14:paraId="372D0812">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在理论研究基础上，起草组充分借鉴已有的理论研究和实践成果，于2026年1月初形成《低Hz饮料》标准草案初稿。2026年1月5日至2026年2月4日，通过</w:t>
      </w:r>
      <w:r>
        <w:rPr>
          <w:rFonts w:hint="eastAsia" w:ascii="宋体" w:hAnsi="宋体" w:eastAsia="宋体"/>
          <w:sz w:val="28"/>
          <w:szCs w:val="28"/>
          <w:lang w:val="en-US" w:eastAsia="zh-CN"/>
        </w:rPr>
        <w:t>协会网站</w:t>
      </w:r>
      <w:r>
        <w:rPr>
          <w:rFonts w:hint="eastAsia" w:ascii="宋体" w:hAnsi="宋体" w:eastAsia="宋体"/>
          <w:sz w:val="28"/>
          <w:szCs w:val="28"/>
        </w:rPr>
        <w:t>及定向函审方式，面向全社会公开征求意见。征求意见期间，共收到来自科研院所、检测机构、生产企业等反馈意见20余条，起草组对意见逐条分析，采纳合理建议，对标准文本进行了多轮修改。</w:t>
      </w:r>
    </w:p>
    <w:p w14:paraId="36BA97F4">
      <w:pPr>
        <w:topLinePunct/>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4、</w:t>
      </w:r>
      <w:r>
        <w:rPr>
          <w:rFonts w:hint="eastAsia" w:ascii="宋体" w:hAnsi="宋体" w:eastAsia="宋体"/>
          <w:sz w:val="28"/>
          <w:szCs w:val="28"/>
          <w:lang w:val="en-US" w:eastAsia="zh-CN"/>
        </w:rPr>
        <w:t>专家研讨阶段</w:t>
      </w:r>
    </w:p>
    <w:p w14:paraId="371F64EE">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2026年2月至3月，起草组继续与行业专家保持沟通，就标准中的关键技术指标（如钙镁锌添加范围、维生素强化量、半辐宽检测方法定位等）进行深入研讨。2026年3月31日，由四川省食品饮料产业协会组织召开标准线上专家研讨会，邀请食品科学、标准化、检测技术等领域专家对标准草案进行集中讨论，形成修改意见10余条。起草组根据专家意见，对标准文本进行了系统优化，重点调整了矿物质及维生素的添加量范围以符合GB 14880要求，规范了微生物限量采样方案等。</w:t>
      </w:r>
    </w:p>
    <w:p w14:paraId="4CD9040D">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val="en-US" w:eastAsia="zh-CN"/>
        </w:rPr>
        <w:t>征求意见</w:t>
      </w:r>
      <w:r>
        <w:rPr>
          <w:rFonts w:hint="eastAsia" w:ascii="宋体" w:hAnsi="宋体" w:eastAsia="宋体"/>
          <w:sz w:val="28"/>
          <w:szCs w:val="28"/>
        </w:rPr>
        <w:t>阶段</w:t>
      </w:r>
    </w:p>
    <w:p w14:paraId="3F4A0760">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2026年4月，起草组继续面向社会及定向专家征集意见，对标准文本进行最终完善。截至目前，共征集意见30余条，采纳25条，部分待进一步研讨，形成标准送审稿。</w:t>
      </w:r>
    </w:p>
    <w:p w14:paraId="59FC55DD">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lang w:val="en-US" w:eastAsia="zh-CN"/>
        </w:rPr>
        <w:t>6</w:t>
      </w:r>
      <w:r>
        <w:rPr>
          <w:rFonts w:hint="eastAsia" w:ascii="宋体" w:hAnsi="宋体" w:eastAsia="宋体"/>
          <w:sz w:val="28"/>
          <w:szCs w:val="28"/>
        </w:rPr>
        <w:t>、专家审核阶段</w:t>
      </w:r>
    </w:p>
    <w:p w14:paraId="229DB945">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计划于2026年4月20日左右，由四川省食品饮料产业协会组织召开标准专家评审会，邀请相关领域专家对标准送审稿进行技术审查。评审通过后，将根据专家意见修改形成报批稿。</w:t>
      </w:r>
    </w:p>
    <w:p w14:paraId="655032F9">
      <w:pPr>
        <w:topLinePunct/>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rPr>
        <w:t>6、</w:t>
      </w:r>
      <w:r>
        <w:rPr>
          <w:rFonts w:hint="eastAsia" w:ascii="宋体" w:hAnsi="宋体" w:eastAsia="宋体"/>
          <w:sz w:val="28"/>
          <w:szCs w:val="28"/>
          <w:lang w:eastAsia="zh-CN"/>
        </w:rPr>
        <w:t>起草单位及人员分工</w:t>
      </w:r>
    </w:p>
    <w:p w14:paraId="1287A563">
      <w:pPr>
        <w:topLinePunct/>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见下表。</w:t>
      </w:r>
    </w:p>
    <w:p w14:paraId="47FA3644">
      <w:pPr>
        <w:spacing w:before="269" w:line="219" w:lineRule="auto"/>
        <w:ind w:left="1813" w:firstLine="852" w:firstLineChars="400"/>
        <w:rPr>
          <w:rFonts w:ascii="Times New Roman" w:hAnsi="Times New Roman" w:eastAsia="楷体" w:cs="Times New Roman"/>
          <w:color w:val="auto"/>
          <w:sz w:val="24"/>
          <w:szCs w:val="24"/>
          <w:lang w:eastAsia="zh-CN"/>
        </w:rPr>
      </w:pPr>
      <w:r>
        <w:rPr>
          <w:rFonts w:ascii="Times New Roman" w:hAnsi="Times New Roman" w:eastAsia="楷体" w:cs="Times New Roman"/>
          <w:b/>
          <w:bCs/>
          <w:color w:val="auto"/>
          <w:spacing w:val="-14"/>
          <w:sz w:val="24"/>
          <w:szCs w:val="24"/>
          <w:lang w:eastAsia="zh-CN"/>
        </w:rPr>
        <w:t>标准编制及参与修改主要人员表</w:t>
      </w:r>
    </w:p>
    <w:p w14:paraId="65ABBB52">
      <w:pPr>
        <w:spacing w:line="128" w:lineRule="exact"/>
        <w:rPr>
          <w:rFonts w:ascii="Times New Roman" w:hAnsi="Times New Roman" w:cs="Times New Roman"/>
          <w:color w:val="auto"/>
          <w:lang w:eastAsia="zh-CN"/>
        </w:rPr>
      </w:pPr>
    </w:p>
    <w:tbl>
      <w:tblPr>
        <w:tblStyle w:val="20"/>
        <w:tblW w:w="8302" w:type="dxa"/>
        <w:tblInd w:w="3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101"/>
        <w:gridCol w:w="3235"/>
        <w:gridCol w:w="3073"/>
      </w:tblGrid>
      <w:tr w14:paraId="23F9A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93" w:type="dxa"/>
            <w:vAlign w:val="center"/>
          </w:tcPr>
          <w:p w14:paraId="038148C2">
            <w:pPr>
              <w:pStyle w:val="19"/>
              <w:spacing w:before="41" w:line="218" w:lineRule="auto"/>
              <w:jc w:val="center"/>
              <w:rPr>
                <w:rFonts w:ascii="Times New Roman" w:hAnsi="Times New Roman" w:cs="Times New Roman"/>
                <w:color w:val="auto"/>
              </w:rPr>
            </w:pPr>
            <w:r>
              <w:rPr>
                <w:rFonts w:ascii="Times New Roman" w:hAnsi="Times New Roman" w:cs="Times New Roman"/>
                <w:b/>
                <w:bCs/>
                <w:color w:val="auto"/>
                <w:spacing w:val="-10"/>
              </w:rPr>
              <w:t>序号</w:t>
            </w:r>
          </w:p>
        </w:tc>
        <w:tc>
          <w:tcPr>
            <w:tcW w:w="1101" w:type="dxa"/>
            <w:vAlign w:val="center"/>
          </w:tcPr>
          <w:p w14:paraId="0DFC5377">
            <w:pPr>
              <w:pStyle w:val="19"/>
              <w:spacing w:before="41" w:line="220" w:lineRule="auto"/>
              <w:jc w:val="center"/>
              <w:rPr>
                <w:rFonts w:ascii="Times New Roman" w:hAnsi="Times New Roman" w:cs="Times New Roman"/>
                <w:color w:val="auto"/>
              </w:rPr>
            </w:pPr>
            <w:r>
              <w:rPr>
                <w:rFonts w:ascii="Times New Roman" w:hAnsi="Times New Roman" w:cs="Times New Roman"/>
                <w:b/>
                <w:bCs/>
                <w:color w:val="auto"/>
                <w:spacing w:val="-10"/>
              </w:rPr>
              <w:t>姓名</w:t>
            </w:r>
          </w:p>
        </w:tc>
        <w:tc>
          <w:tcPr>
            <w:tcW w:w="3235" w:type="dxa"/>
            <w:vAlign w:val="center"/>
          </w:tcPr>
          <w:p w14:paraId="037C7AEB">
            <w:pPr>
              <w:pStyle w:val="19"/>
              <w:spacing w:before="40" w:line="217" w:lineRule="auto"/>
              <w:ind w:firstLine="1095" w:firstLineChars="500"/>
              <w:jc w:val="center"/>
              <w:rPr>
                <w:rFonts w:ascii="Times New Roman" w:hAnsi="Times New Roman" w:cs="Times New Roman"/>
                <w:color w:val="auto"/>
              </w:rPr>
            </w:pPr>
            <w:r>
              <w:rPr>
                <w:rFonts w:ascii="Times New Roman" w:hAnsi="Times New Roman" w:cs="Times New Roman"/>
                <w:b/>
                <w:bCs/>
                <w:color w:val="auto"/>
                <w:spacing w:val="-11"/>
              </w:rPr>
              <w:t>单</w:t>
            </w:r>
            <w:r>
              <w:rPr>
                <w:rFonts w:ascii="Times New Roman" w:hAnsi="Times New Roman" w:cs="Times New Roman"/>
                <w:b/>
                <w:bCs/>
                <w:color w:val="auto"/>
                <w:spacing w:val="-11"/>
                <w:lang w:eastAsia="zh-CN"/>
              </w:rPr>
              <w:t xml:space="preserve"> </w:t>
            </w:r>
            <w:r>
              <w:rPr>
                <w:rFonts w:ascii="Times New Roman" w:hAnsi="Times New Roman" w:cs="Times New Roman"/>
                <w:b/>
                <w:bCs/>
                <w:color w:val="auto"/>
                <w:spacing w:val="-11"/>
              </w:rPr>
              <w:t>位</w:t>
            </w:r>
          </w:p>
        </w:tc>
        <w:tc>
          <w:tcPr>
            <w:tcW w:w="3073" w:type="dxa"/>
            <w:vAlign w:val="center"/>
          </w:tcPr>
          <w:p w14:paraId="21291B69">
            <w:pPr>
              <w:pStyle w:val="19"/>
              <w:spacing w:before="41" w:line="219" w:lineRule="auto"/>
              <w:ind w:left="1092"/>
              <w:jc w:val="center"/>
              <w:rPr>
                <w:rFonts w:ascii="Times New Roman" w:hAnsi="Times New Roman" w:cs="Times New Roman"/>
                <w:color w:val="auto"/>
              </w:rPr>
            </w:pPr>
            <w:r>
              <w:rPr>
                <w:rFonts w:ascii="Times New Roman" w:hAnsi="Times New Roman" w:cs="Times New Roman"/>
                <w:b/>
                <w:bCs/>
                <w:color w:val="auto"/>
                <w:spacing w:val="-13"/>
              </w:rPr>
              <w:t>任务分工</w:t>
            </w:r>
          </w:p>
        </w:tc>
      </w:tr>
      <w:tr w14:paraId="7E5C1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93" w:type="dxa"/>
            <w:vAlign w:val="center"/>
          </w:tcPr>
          <w:p w14:paraId="722AD49E">
            <w:pPr>
              <w:pStyle w:val="19"/>
              <w:spacing w:before="239" w:line="179" w:lineRule="auto"/>
              <w:ind w:left="133"/>
              <w:jc w:val="center"/>
              <w:rPr>
                <w:rFonts w:hint="eastAsia" w:ascii="Times New Roman" w:hAnsi="Times New Roman" w:cs="Times New Roman"/>
                <w:color w:val="auto"/>
                <w:lang w:val="en-US" w:eastAsia="zh-CN"/>
              </w:rPr>
            </w:pPr>
            <w:bookmarkStart w:id="0" w:name="OLE_LINK59"/>
            <w:bookmarkStart w:id="1" w:name="OLE_LINK58"/>
            <w:r>
              <w:rPr>
                <w:rFonts w:hint="eastAsia" w:ascii="Times New Roman" w:hAnsi="Times New Roman" w:cs="Times New Roman"/>
                <w:color w:val="auto"/>
                <w:lang w:val="en-US" w:eastAsia="zh-CN"/>
              </w:rPr>
              <w:t>1</w:t>
            </w:r>
          </w:p>
        </w:tc>
        <w:tc>
          <w:tcPr>
            <w:tcW w:w="1101" w:type="dxa"/>
            <w:vAlign w:val="center"/>
          </w:tcPr>
          <w:p w14:paraId="6F4CB12D">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刘俊</w:t>
            </w:r>
          </w:p>
        </w:tc>
        <w:tc>
          <w:tcPr>
            <w:tcW w:w="3235" w:type="dxa"/>
            <w:vAlign w:val="center"/>
          </w:tcPr>
          <w:p w14:paraId="764DFF0F">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活力王（重庆）生物科技有限公司</w:t>
            </w:r>
          </w:p>
        </w:tc>
        <w:tc>
          <w:tcPr>
            <w:tcW w:w="3073" w:type="dxa"/>
            <w:vAlign w:val="center"/>
          </w:tcPr>
          <w:p w14:paraId="26C11096">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组织协调起草工作，牵头撰写和完善标准初稿</w:t>
            </w:r>
          </w:p>
        </w:tc>
      </w:tr>
      <w:tr w14:paraId="617AB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37660F74">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w:t>
            </w:r>
          </w:p>
        </w:tc>
        <w:tc>
          <w:tcPr>
            <w:tcW w:w="1101" w:type="dxa"/>
            <w:vAlign w:val="center"/>
          </w:tcPr>
          <w:p w14:paraId="3B38B38C">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刘杰</w:t>
            </w:r>
          </w:p>
        </w:tc>
        <w:tc>
          <w:tcPr>
            <w:tcW w:w="3235" w:type="dxa"/>
            <w:vAlign w:val="center"/>
          </w:tcPr>
          <w:p w14:paraId="3567C1C4">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活力王（重庆）生物科技有限公司</w:t>
            </w:r>
          </w:p>
        </w:tc>
        <w:tc>
          <w:tcPr>
            <w:tcW w:w="3073" w:type="dxa"/>
            <w:vAlign w:val="center"/>
          </w:tcPr>
          <w:p w14:paraId="2DC1A644">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组织协调起草工作，牵头撰写和完善标准初稿</w:t>
            </w:r>
          </w:p>
        </w:tc>
      </w:tr>
      <w:tr w14:paraId="65F3E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47EF10B2">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c>
          <w:tcPr>
            <w:tcW w:w="1101" w:type="dxa"/>
            <w:vAlign w:val="center"/>
          </w:tcPr>
          <w:p w14:paraId="2FFBD7FF">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郝彩艳</w:t>
            </w:r>
          </w:p>
        </w:tc>
        <w:tc>
          <w:tcPr>
            <w:tcW w:w="3235" w:type="dxa"/>
            <w:vAlign w:val="center"/>
          </w:tcPr>
          <w:p w14:paraId="01353A4D">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活力王（重庆）生物科技有限公司</w:t>
            </w:r>
          </w:p>
        </w:tc>
        <w:tc>
          <w:tcPr>
            <w:tcW w:w="3073" w:type="dxa"/>
            <w:vAlign w:val="center"/>
          </w:tcPr>
          <w:p w14:paraId="7F218807">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bookmarkEnd w:id="0"/>
      <w:bookmarkEnd w:id="1"/>
      <w:tr w14:paraId="0B4D4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41CB3481">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c>
          <w:tcPr>
            <w:tcW w:w="1101" w:type="dxa"/>
            <w:vAlign w:val="center"/>
          </w:tcPr>
          <w:p w14:paraId="0364E9FD">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姚宝娜</w:t>
            </w:r>
          </w:p>
        </w:tc>
        <w:tc>
          <w:tcPr>
            <w:tcW w:w="3235" w:type="dxa"/>
            <w:vAlign w:val="center"/>
          </w:tcPr>
          <w:p w14:paraId="10D5B7D4">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活力王（重庆）生物科技有限公司</w:t>
            </w:r>
          </w:p>
        </w:tc>
        <w:tc>
          <w:tcPr>
            <w:tcW w:w="3073" w:type="dxa"/>
            <w:vAlign w:val="center"/>
          </w:tcPr>
          <w:p w14:paraId="46643050">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30376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2C36E22A">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w:t>
            </w:r>
          </w:p>
        </w:tc>
        <w:tc>
          <w:tcPr>
            <w:tcW w:w="1101" w:type="dxa"/>
            <w:vAlign w:val="center"/>
          </w:tcPr>
          <w:p w14:paraId="5E0BA94E">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金昌龙</w:t>
            </w:r>
          </w:p>
        </w:tc>
        <w:tc>
          <w:tcPr>
            <w:tcW w:w="3235" w:type="dxa"/>
            <w:vAlign w:val="center"/>
          </w:tcPr>
          <w:p w14:paraId="3090FB37">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活力王（重庆）生物科技有限公司</w:t>
            </w:r>
          </w:p>
        </w:tc>
        <w:tc>
          <w:tcPr>
            <w:tcW w:w="3073" w:type="dxa"/>
            <w:vAlign w:val="center"/>
          </w:tcPr>
          <w:p w14:paraId="44296113">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5A53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3B6483E9">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6</w:t>
            </w:r>
          </w:p>
        </w:tc>
        <w:tc>
          <w:tcPr>
            <w:tcW w:w="1101" w:type="dxa"/>
            <w:shd w:val="clear" w:color="auto" w:fill="auto"/>
            <w:vAlign w:val="center"/>
          </w:tcPr>
          <w:p w14:paraId="6998D24E">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尹明辉</w:t>
            </w:r>
          </w:p>
        </w:tc>
        <w:tc>
          <w:tcPr>
            <w:tcW w:w="3235" w:type="dxa"/>
            <w:shd w:val="clear" w:color="auto" w:fill="auto"/>
            <w:vAlign w:val="center"/>
          </w:tcPr>
          <w:p w14:paraId="65828578">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重庆古今健康科技有限公司</w:t>
            </w:r>
          </w:p>
        </w:tc>
        <w:tc>
          <w:tcPr>
            <w:tcW w:w="3073" w:type="dxa"/>
            <w:shd w:val="clear" w:color="auto" w:fill="auto"/>
            <w:vAlign w:val="center"/>
          </w:tcPr>
          <w:p w14:paraId="705E6B5F">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79CE4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76851B30">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7</w:t>
            </w:r>
          </w:p>
        </w:tc>
        <w:tc>
          <w:tcPr>
            <w:tcW w:w="1101" w:type="dxa"/>
            <w:shd w:val="clear" w:color="auto" w:fill="auto"/>
            <w:vAlign w:val="center"/>
          </w:tcPr>
          <w:p w14:paraId="18B48EF3">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郝文凯</w:t>
            </w:r>
          </w:p>
        </w:tc>
        <w:tc>
          <w:tcPr>
            <w:tcW w:w="3235" w:type="dxa"/>
            <w:shd w:val="clear" w:color="auto" w:fill="auto"/>
            <w:vAlign w:val="center"/>
          </w:tcPr>
          <w:p w14:paraId="343F38F2">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重庆古今健康科技有限公司</w:t>
            </w:r>
          </w:p>
        </w:tc>
        <w:tc>
          <w:tcPr>
            <w:tcW w:w="3073" w:type="dxa"/>
            <w:shd w:val="clear" w:color="auto" w:fill="auto"/>
            <w:vAlign w:val="center"/>
          </w:tcPr>
          <w:p w14:paraId="5E701907">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157F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center"/>
          </w:tcPr>
          <w:p w14:paraId="6693994A">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w:t>
            </w:r>
          </w:p>
        </w:tc>
        <w:tc>
          <w:tcPr>
            <w:tcW w:w="1101" w:type="dxa"/>
            <w:shd w:val="clear" w:color="auto" w:fill="auto"/>
            <w:vAlign w:val="center"/>
          </w:tcPr>
          <w:p w14:paraId="5B0A3CF2">
            <w:pPr>
              <w:pStyle w:val="19"/>
              <w:spacing w:before="239" w:line="179" w:lineRule="auto"/>
              <w:ind w:left="133" w:left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杨易栋</w:t>
            </w:r>
          </w:p>
        </w:tc>
        <w:tc>
          <w:tcPr>
            <w:tcW w:w="3235" w:type="dxa"/>
            <w:shd w:val="clear" w:color="auto" w:fill="auto"/>
            <w:vAlign w:val="center"/>
          </w:tcPr>
          <w:p w14:paraId="3B3CB0EC">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重庆绿泓环保科技有限公司</w:t>
            </w:r>
          </w:p>
        </w:tc>
        <w:tc>
          <w:tcPr>
            <w:tcW w:w="3073" w:type="dxa"/>
            <w:shd w:val="clear" w:color="auto" w:fill="auto"/>
            <w:vAlign w:val="center"/>
          </w:tcPr>
          <w:p w14:paraId="08C47E50">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0EA70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93" w:type="dxa"/>
            <w:vAlign w:val="center"/>
          </w:tcPr>
          <w:p w14:paraId="52DCAE50">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9</w:t>
            </w:r>
          </w:p>
        </w:tc>
        <w:tc>
          <w:tcPr>
            <w:tcW w:w="1101" w:type="dxa"/>
            <w:shd w:val="clear" w:color="auto" w:fill="auto"/>
            <w:vAlign w:val="center"/>
          </w:tcPr>
          <w:p w14:paraId="3712575B">
            <w:pPr>
              <w:pStyle w:val="19"/>
              <w:spacing w:before="239" w:line="179" w:lineRule="auto"/>
              <w:ind w:left="133" w:left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崔清林</w:t>
            </w:r>
          </w:p>
        </w:tc>
        <w:tc>
          <w:tcPr>
            <w:tcW w:w="3235" w:type="dxa"/>
            <w:shd w:val="clear" w:color="auto" w:fill="auto"/>
            <w:vAlign w:val="center"/>
          </w:tcPr>
          <w:p w14:paraId="73B3FD97">
            <w:pPr>
              <w:pStyle w:val="19"/>
              <w:spacing w:before="239" w:line="179" w:lineRule="auto"/>
              <w:ind w:left="133" w:leftChars="0"/>
              <w:jc w:val="center"/>
              <w:rPr>
                <w:rFonts w:hint="eastAsia" w:ascii="Times New Roman" w:hAnsi="Times New Roman" w:eastAsia="仿宋" w:cs="Times New Roman"/>
                <w:color w:val="C00000"/>
                <w:kern w:val="2"/>
                <w:sz w:val="24"/>
                <w:szCs w:val="24"/>
                <w:lang w:val="en-US" w:eastAsia="zh-CN" w:bidi="ar-SA"/>
              </w:rPr>
            </w:pPr>
            <w:r>
              <w:rPr>
                <w:rFonts w:hint="eastAsia" w:ascii="Times New Roman" w:hAnsi="Times New Roman" w:cs="Times New Roman"/>
                <w:color w:val="auto"/>
                <w:lang w:val="en-US" w:eastAsia="zh-CN"/>
              </w:rPr>
              <w:t>重庆绿泓环保科技有限公司</w:t>
            </w:r>
          </w:p>
        </w:tc>
        <w:tc>
          <w:tcPr>
            <w:tcW w:w="3073" w:type="dxa"/>
            <w:vAlign w:val="center"/>
          </w:tcPr>
          <w:p w14:paraId="6554E476">
            <w:pPr>
              <w:pStyle w:val="19"/>
              <w:spacing w:before="239" w:line="179" w:lineRule="auto"/>
              <w:ind w:left="133"/>
              <w:jc w:val="center"/>
              <w:rPr>
                <w:rFonts w:hint="default" w:ascii="Times New Roman" w:hAnsi="Times New Roman" w:cs="Times New Roman"/>
                <w:color w:val="auto"/>
                <w:lang w:val="en-US" w:eastAsia="zh-CN"/>
              </w:rPr>
            </w:pPr>
          </w:p>
        </w:tc>
      </w:tr>
      <w:tr w14:paraId="7F5B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3FF77DED">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1101" w:type="dxa"/>
            <w:shd w:val="clear" w:color="auto" w:fill="auto"/>
            <w:vAlign w:val="center"/>
          </w:tcPr>
          <w:p w14:paraId="7B057BB6">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徐岩峰</w:t>
            </w:r>
          </w:p>
        </w:tc>
        <w:tc>
          <w:tcPr>
            <w:tcW w:w="3235" w:type="dxa"/>
            <w:shd w:val="clear" w:color="auto" w:fill="auto"/>
            <w:vAlign w:val="center"/>
          </w:tcPr>
          <w:p w14:paraId="6AD28BF8">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中俄生命研究院有限公司</w:t>
            </w:r>
          </w:p>
        </w:tc>
        <w:tc>
          <w:tcPr>
            <w:tcW w:w="3073" w:type="dxa"/>
            <w:shd w:val="clear" w:color="auto" w:fill="auto"/>
            <w:vAlign w:val="center"/>
          </w:tcPr>
          <w:p w14:paraId="17EED56A">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12E1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37BB7FC7">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w:t>
            </w:r>
          </w:p>
        </w:tc>
        <w:tc>
          <w:tcPr>
            <w:tcW w:w="1101" w:type="dxa"/>
            <w:shd w:val="clear" w:color="auto" w:fill="auto"/>
            <w:vAlign w:val="center"/>
          </w:tcPr>
          <w:p w14:paraId="0C68F0D3">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唐彪</w:t>
            </w:r>
          </w:p>
        </w:tc>
        <w:tc>
          <w:tcPr>
            <w:tcW w:w="3235" w:type="dxa"/>
            <w:shd w:val="clear" w:color="auto" w:fill="auto"/>
            <w:vAlign w:val="center"/>
          </w:tcPr>
          <w:p w14:paraId="6CC73FD7">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中俄生命研究院有限公司</w:t>
            </w:r>
          </w:p>
        </w:tc>
        <w:tc>
          <w:tcPr>
            <w:tcW w:w="3073" w:type="dxa"/>
            <w:shd w:val="clear" w:color="auto" w:fill="auto"/>
            <w:vAlign w:val="center"/>
          </w:tcPr>
          <w:p w14:paraId="3429524C">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7E8D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3294A37F">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12</w:t>
            </w:r>
          </w:p>
        </w:tc>
        <w:tc>
          <w:tcPr>
            <w:tcW w:w="1101" w:type="dxa"/>
            <w:shd w:val="clear" w:color="auto" w:fill="auto"/>
            <w:vAlign w:val="center"/>
          </w:tcPr>
          <w:p w14:paraId="4B590C79">
            <w:pPr>
              <w:pStyle w:val="19"/>
              <w:spacing w:before="239" w:line="179" w:lineRule="auto"/>
              <w:ind w:left="133" w:leftChars="0"/>
              <w:jc w:val="center"/>
              <w:rPr>
                <w:rFonts w:hint="eastAsia" w:ascii="Times New Roman" w:hAnsi="Times New Roman" w:eastAsia="仿宋" w:cs="Times New Roman"/>
                <w:color w:val="C00000"/>
                <w:kern w:val="2"/>
                <w:sz w:val="24"/>
                <w:szCs w:val="24"/>
                <w:lang w:val="en-US" w:eastAsia="zh-CN" w:bidi="ar-SA"/>
              </w:rPr>
            </w:pPr>
            <w:r>
              <w:rPr>
                <w:rFonts w:hint="eastAsia" w:ascii="Times New Roman" w:hAnsi="Times New Roman" w:cs="Times New Roman"/>
                <w:color w:val="auto"/>
                <w:lang w:val="en-US" w:eastAsia="zh-CN"/>
              </w:rPr>
              <w:t>杨永发</w:t>
            </w:r>
          </w:p>
        </w:tc>
        <w:tc>
          <w:tcPr>
            <w:tcW w:w="3235" w:type="dxa"/>
            <w:shd w:val="clear" w:color="auto" w:fill="auto"/>
            <w:vAlign w:val="center"/>
          </w:tcPr>
          <w:p w14:paraId="45A327D0">
            <w:pPr>
              <w:pStyle w:val="19"/>
              <w:spacing w:before="239" w:line="179" w:lineRule="auto"/>
              <w:ind w:left="133" w:leftChars="0"/>
              <w:jc w:val="center"/>
              <w:rPr>
                <w:rFonts w:hint="eastAsia" w:ascii="Times New Roman" w:hAnsi="Times New Roman" w:eastAsia="仿宋" w:cs="Times New Roman"/>
                <w:color w:val="C00000"/>
                <w:kern w:val="2"/>
                <w:sz w:val="24"/>
                <w:szCs w:val="24"/>
                <w:lang w:val="en-US" w:eastAsia="zh-CN" w:bidi="ar-SA"/>
              </w:rPr>
            </w:pPr>
            <w:r>
              <w:rPr>
                <w:rFonts w:hint="eastAsia" w:ascii="Times New Roman" w:hAnsi="Times New Roman" w:cs="Times New Roman"/>
                <w:color w:val="auto"/>
                <w:lang w:val="en-US" w:eastAsia="zh-CN"/>
              </w:rPr>
              <w:t>经纬数字经济技术产业（重庆）有限公司</w:t>
            </w:r>
          </w:p>
        </w:tc>
        <w:tc>
          <w:tcPr>
            <w:tcW w:w="3073" w:type="dxa"/>
            <w:shd w:val="clear" w:color="auto" w:fill="auto"/>
            <w:vAlign w:val="center"/>
          </w:tcPr>
          <w:p w14:paraId="0A93E981">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1FBA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296FE94D">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13</w:t>
            </w:r>
          </w:p>
        </w:tc>
        <w:tc>
          <w:tcPr>
            <w:tcW w:w="1101" w:type="dxa"/>
            <w:vAlign w:val="center"/>
          </w:tcPr>
          <w:p w14:paraId="6436AB94">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宋世江</w:t>
            </w:r>
          </w:p>
        </w:tc>
        <w:tc>
          <w:tcPr>
            <w:tcW w:w="3235" w:type="dxa"/>
            <w:vAlign w:val="center"/>
          </w:tcPr>
          <w:p w14:paraId="32DC44B0">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经纬数字经济技术产业（重庆）有限公司</w:t>
            </w:r>
          </w:p>
        </w:tc>
        <w:tc>
          <w:tcPr>
            <w:tcW w:w="3073" w:type="dxa"/>
            <w:vAlign w:val="center"/>
          </w:tcPr>
          <w:p w14:paraId="34AABB47">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1661D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74EF0B12">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14</w:t>
            </w:r>
          </w:p>
        </w:tc>
        <w:tc>
          <w:tcPr>
            <w:tcW w:w="1101" w:type="dxa"/>
            <w:shd w:val="clear" w:color="auto" w:fill="auto"/>
            <w:vAlign w:val="center"/>
          </w:tcPr>
          <w:p w14:paraId="6819AB33">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刘文佼</w:t>
            </w:r>
          </w:p>
        </w:tc>
        <w:tc>
          <w:tcPr>
            <w:tcW w:w="3235" w:type="dxa"/>
            <w:shd w:val="clear" w:color="auto" w:fill="auto"/>
            <w:vAlign w:val="center"/>
          </w:tcPr>
          <w:p w14:paraId="080C64AE">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中润联辉（杭州）健康科技有限公司</w:t>
            </w:r>
          </w:p>
        </w:tc>
        <w:tc>
          <w:tcPr>
            <w:tcW w:w="3073" w:type="dxa"/>
            <w:shd w:val="clear" w:color="auto" w:fill="auto"/>
            <w:vAlign w:val="center"/>
          </w:tcPr>
          <w:p w14:paraId="55A01135">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40CCB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22A1E400">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15</w:t>
            </w:r>
          </w:p>
        </w:tc>
        <w:tc>
          <w:tcPr>
            <w:tcW w:w="1101" w:type="dxa"/>
            <w:shd w:val="clear" w:color="auto" w:fill="auto"/>
            <w:vAlign w:val="center"/>
          </w:tcPr>
          <w:p w14:paraId="4EB6DC26">
            <w:pPr>
              <w:pStyle w:val="19"/>
              <w:spacing w:before="239" w:line="179" w:lineRule="auto"/>
              <w:ind w:left="133" w:left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孙博扬</w:t>
            </w:r>
          </w:p>
        </w:tc>
        <w:tc>
          <w:tcPr>
            <w:tcW w:w="3235" w:type="dxa"/>
            <w:shd w:val="clear" w:color="auto" w:fill="auto"/>
            <w:vAlign w:val="center"/>
          </w:tcPr>
          <w:p w14:paraId="3DA63716">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中润联辉（杭州）健康科技有限公司</w:t>
            </w:r>
          </w:p>
        </w:tc>
        <w:tc>
          <w:tcPr>
            <w:tcW w:w="3073" w:type="dxa"/>
            <w:shd w:val="clear" w:color="auto" w:fill="auto"/>
            <w:vAlign w:val="center"/>
          </w:tcPr>
          <w:p w14:paraId="2331A7EB">
            <w:pPr>
              <w:pStyle w:val="19"/>
              <w:spacing w:before="239" w:line="179" w:lineRule="auto"/>
              <w:ind w:left="133" w:left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cs="Times New Roman"/>
                <w:color w:val="auto"/>
                <w:lang w:val="en-US" w:eastAsia="zh-CN"/>
              </w:rPr>
              <w:t>标准修改完善</w:t>
            </w:r>
          </w:p>
        </w:tc>
      </w:tr>
      <w:tr w14:paraId="17CA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1B87AB51">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w:t>
            </w:r>
          </w:p>
        </w:tc>
        <w:tc>
          <w:tcPr>
            <w:tcW w:w="1101" w:type="dxa"/>
            <w:vAlign w:val="center"/>
          </w:tcPr>
          <w:p w14:paraId="6C645BFE">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杨蒲祁</w:t>
            </w:r>
          </w:p>
        </w:tc>
        <w:tc>
          <w:tcPr>
            <w:tcW w:w="3235" w:type="dxa"/>
            <w:vAlign w:val="center"/>
          </w:tcPr>
          <w:p w14:paraId="52891C50">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重庆经纬江河企业管理有限责任公司</w:t>
            </w:r>
          </w:p>
        </w:tc>
        <w:tc>
          <w:tcPr>
            <w:tcW w:w="3073" w:type="dxa"/>
            <w:vAlign w:val="center"/>
          </w:tcPr>
          <w:p w14:paraId="374E9CDD">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54E2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46BFCA80">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17</w:t>
            </w:r>
          </w:p>
        </w:tc>
        <w:tc>
          <w:tcPr>
            <w:tcW w:w="1101" w:type="dxa"/>
            <w:vAlign w:val="center"/>
          </w:tcPr>
          <w:p w14:paraId="58C32308">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吴广昱</w:t>
            </w:r>
          </w:p>
        </w:tc>
        <w:tc>
          <w:tcPr>
            <w:tcW w:w="3235" w:type="dxa"/>
            <w:vAlign w:val="center"/>
          </w:tcPr>
          <w:p w14:paraId="2111B55E">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重庆经纬江河企业管理有限责任公司</w:t>
            </w:r>
          </w:p>
        </w:tc>
        <w:tc>
          <w:tcPr>
            <w:tcW w:w="3073" w:type="dxa"/>
            <w:vAlign w:val="center"/>
          </w:tcPr>
          <w:p w14:paraId="4B54515B">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1262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4E42CD16">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w:t>
            </w:r>
          </w:p>
        </w:tc>
        <w:tc>
          <w:tcPr>
            <w:tcW w:w="1101" w:type="dxa"/>
            <w:vAlign w:val="center"/>
          </w:tcPr>
          <w:p w14:paraId="22D8E0AF">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刘辉</w:t>
            </w:r>
          </w:p>
        </w:tc>
        <w:tc>
          <w:tcPr>
            <w:tcW w:w="3235" w:type="dxa"/>
            <w:vAlign w:val="center"/>
          </w:tcPr>
          <w:p w14:paraId="042FD9F0">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重庆喀喇昆仑科技有限公司</w:t>
            </w:r>
          </w:p>
        </w:tc>
        <w:tc>
          <w:tcPr>
            <w:tcW w:w="3073" w:type="dxa"/>
            <w:vAlign w:val="center"/>
          </w:tcPr>
          <w:p w14:paraId="2F0764E8">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3E91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11D65D46">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w:t>
            </w:r>
          </w:p>
        </w:tc>
        <w:tc>
          <w:tcPr>
            <w:tcW w:w="1101" w:type="dxa"/>
            <w:vAlign w:val="center"/>
          </w:tcPr>
          <w:p w14:paraId="31D9FA07">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黎乐萍</w:t>
            </w:r>
          </w:p>
        </w:tc>
        <w:tc>
          <w:tcPr>
            <w:tcW w:w="3235" w:type="dxa"/>
            <w:vAlign w:val="center"/>
          </w:tcPr>
          <w:p w14:paraId="44B23980">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重庆喀喇昆仑科技有限公司</w:t>
            </w:r>
          </w:p>
        </w:tc>
        <w:tc>
          <w:tcPr>
            <w:tcW w:w="3073" w:type="dxa"/>
            <w:vAlign w:val="center"/>
          </w:tcPr>
          <w:p w14:paraId="684A8BFF">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692F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25C49E33">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20</w:t>
            </w:r>
          </w:p>
        </w:tc>
        <w:tc>
          <w:tcPr>
            <w:tcW w:w="1101" w:type="dxa"/>
            <w:vAlign w:val="center"/>
          </w:tcPr>
          <w:p w14:paraId="2622A94E">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向艾明</w:t>
            </w:r>
          </w:p>
        </w:tc>
        <w:tc>
          <w:tcPr>
            <w:tcW w:w="3235" w:type="dxa"/>
            <w:vAlign w:val="center"/>
          </w:tcPr>
          <w:p w14:paraId="0BF7130B">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重庆臻艾琳商贸有限公司</w:t>
            </w:r>
          </w:p>
        </w:tc>
        <w:tc>
          <w:tcPr>
            <w:tcW w:w="3073" w:type="dxa"/>
            <w:vAlign w:val="center"/>
          </w:tcPr>
          <w:p w14:paraId="222D2D0A">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1D7B3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09269B01">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21</w:t>
            </w:r>
          </w:p>
        </w:tc>
        <w:tc>
          <w:tcPr>
            <w:tcW w:w="1101" w:type="dxa"/>
            <w:vAlign w:val="center"/>
          </w:tcPr>
          <w:p w14:paraId="248B6D9C">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余雯</w:t>
            </w:r>
          </w:p>
        </w:tc>
        <w:tc>
          <w:tcPr>
            <w:tcW w:w="3235" w:type="dxa"/>
            <w:vAlign w:val="center"/>
          </w:tcPr>
          <w:p w14:paraId="20BF5D2B">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重庆臻艾琳商贸有限公司</w:t>
            </w:r>
          </w:p>
        </w:tc>
        <w:tc>
          <w:tcPr>
            <w:tcW w:w="3073" w:type="dxa"/>
            <w:vAlign w:val="center"/>
          </w:tcPr>
          <w:p w14:paraId="6F152904">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749B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5D829FE7">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22</w:t>
            </w:r>
          </w:p>
        </w:tc>
        <w:tc>
          <w:tcPr>
            <w:tcW w:w="1101" w:type="dxa"/>
            <w:vAlign w:val="center"/>
          </w:tcPr>
          <w:p w14:paraId="45958437">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郝文凯</w:t>
            </w:r>
          </w:p>
        </w:tc>
        <w:tc>
          <w:tcPr>
            <w:tcW w:w="3235" w:type="dxa"/>
            <w:vAlign w:val="center"/>
          </w:tcPr>
          <w:p w14:paraId="61FC8C6B">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西安金逸达科技有限公司</w:t>
            </w:r>
          </w:p>
        </w:tc>
        <w:tc>
          <w:tcPr>
            <w:tcW w:w="3073" w:type="dxa"/>
            <w:vAlign w:val="center"/>
          </w:tcPr>
          <w:p w14:paraId="312C8288">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r w14:paraId="6E5B4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93" w:type="dxa"/>
            <w:vAlign w:val="center"/>
          </w:tcPr>
          <w:p w14:paraId="42987BE8">
            <w:pPr>
              <w:pStyle w:val="19"/>
              <w:spacing w:before="239" w:line="179" w:lineRule="auto"/>
              <w:ind w:left="133"/>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23</w:t>
            </w:r>
          </w:p>
        </w:tc>
        <w:tc>
          <w:tcPr>
            <w:tcW w:w="1101" w:type="dxa"/>
            <w:vAlign w:val="center"/>
          </w:tcPr>
          <w:p w14:paraId="583474D5">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白雪</w:t>
            </w:r>
          </w:p>
        </w:tc>
        <w:tc>
          <w:tcPr>
            <w:tcW w:w="3235" w:type="dxa"/>
            <w:vAlign w:val="center"/>
          </w:tcPr>
          <w:p w14:paraId="02A8F418">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西安金逸达科技有限公司</w:t>
            </w:r>
          </w:p>
        </w:tc>
        <w:tc>
          <w:tcPr>
            <w:tcW w:w="3073" w:type="dxa"/>
            <w:vAlign w:val="center"/>
          </w:tcPr>
          <w:p w14:paraId="55AA33A6">
            <w:pPr>
              <w:pStyle w:val="19"/>
              <w:spacing w:before="239" w:line="179" w:lineRule="auto"/>
              <w:ind w:left="133"/>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标准修改完善</w:t>
            </w:r>
          </w:p>
        </w:tc>
      </w:tr>
    </w:tbl>
    <w:p w14:paraId="40F3E4D7">
      <w:pPr>
        <w:pStyle w:val="3"/>
        <w:spacing w:line="256" w:lineRule="auto"/>
        <w:rPr>
          <w:rFonts w:ascii="Times New Roman" w:hAnsi="Times New Roman" w:cs="Times New Roman"/>
          <w:color w:val="auto"/>
          <w:lang w:eastAsia="zh-CN"/>
        </w:rPr>
      </w:pPr>
    </w:p>
    <w:p w14:paraId="72DFB33F">
      <w:pPr>
        <w:topLinePunct/>
        <w:spacing w:line="360" w:lineRule="auto"/>
        <w:ind w:firstLine="560" w:firstLineChars="200"/>
        <w:jc w:val="left"/>
        <w:rPr>
          <w:rFonts w:hint="eastAsia" w:ascii="宋体" w:hAnsi="宋体" w:eastAsia="宋体"/>
          <w:sz w:val="28"/>
          <w:szCs w:val="28"/>
        </w:rPr>
      </w:pPr>
    </w:p>
    <w:p w14:paraId="606EE044">
      <w:pPr>
        <w:spacing w:line="360" w:lineRule="auto"/>
        <w:jc w:val="left"/>
        <w:rPr>
          <w:rFonts w:hint="eastAsia" w:ascii="宋体" w:hAnsi="宋体" w:eastAsia="宋体"/>
          <w:sz w:val="28"/>
          <w:szCs w:val="28"/>
        </w:rPr>
      </w:pPr>
      <w:r>
        <w:rPr>
          <w:rFonts w:hint="eastAsia" w:ascii="宋体" w:hAnsi="宋体" w:eastAsia="宋体"/>
          <w:b/>
          <w:bCs/>
          <w:sz w:val="28"/>
          <w:szCs w:val="28"/>
        </w:rPr>
        <w:t>（四）主要起草单位及起草人所做的工作</w:t>
      </w:r>
    </w:p>
    <w:p w14:paraId="24E2254E">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1、主要起草单位</w:t>
      </w:r>
    </w:p>
    <w:p w14:paraId="7EB425BD">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活力王（重庆）生物科技有限公司、重庆古今健康科技有限公司、重庆绿泓环保科技有限公司、经纬数字经济技术产业（重庆）有限公司、中俄生命研究院有限公司等多家单位的专家成立了标准起草小组，开展标准的编制工作。其中，活力王（重庆）生物科技有限公司负责前期标准论证工作的开展及标准文本撰写；重庆古今健康科技有限公司负责标准中技术指标的核实；重庆绿泓环保科技有限公司负责标准编写过程中会议召开及意见汇总等工作；经纬数字经济技术产业（重庆）有限公司和中俄生命研究院有限公司负责低频处理技术的科学依据提供及检测方法验证；四川省食品饮料产业协会负责组织和收集各单位、专家的意见及评审会的召开等工作。各单位共同协作，保证标准按时按质完成。</w:t>
      </w:r>
    </w:p>
    <w:p w14:paraId="46F24207">
      <w:pPr>
        <w:topLinePunct/>
        <w:spacing w:line="360" w:lineRule="auto"/>
        <w:ind w:firstLine="560" w:firstLineChars="200"/>
        <w:jc w:val="left"/>
        <w:rPr>
          <w:rFonts w:hint="eastAsia" w:ascii="宋体" w:hAnsi="宋体" w:eastAsia="宋体"/>
          <w:sz w:val="28"/>
          <w:szCs w:val="28"/>
        </w:rPr>
      </w:pPr>
      <w:r>
        <w:rPr>
          <w:rFonts w:ascii="宋体" w:hAnsi="宋体" w:eastAsia="宋体"/>
          <w:sz w:val="28"/>
          <w:szCs w:val="28"/>
        </w:rPr>
        <w:t>2、广泛收集相关资料</w:t>
      </w:r>
    </w:p>
    <w:p w14:paraId="425E1204">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在广泛调研、查阅和研究国际标准、国家标准、行业标准</w:t>
      </w:r>
      <w:r>
        <w:rPr>
          <w:rFonts w:ascii="宋体" w:hAnsi="宋体" w:eastAsia="宋体"/>
          <w:sz w:val="28"/>
          <w:szCs w:val="28"/>
        </w:rPr>
        <w:t>的</w:t>
      </w:r>
      <w:r>
        <w:rPr>
          <w:rFonts w:hint="eastAsia" w:ascii="宋体" w:hAnsi="宋体" w:eastAsia="宋体"/>
          <w:sz w:val="28"/>
          <w:szCs w:val="28"/>
        </w:rPr>
        <w:t>基础之上，形成本标准送审稿。本文件规范性引用文件如下：</w:t>
      </w:r>
    </w:p>
    <w:p w14:paraId="4F5B4BA4">
      <w:pPr>
        <w:spacing w:line="360" w:lineRule="auto"/>
        <w:jc w:val="left"/>
        <w:rPr>
          <w:rFonts w:hint="eastAsia" w:ascii="宋体" w:hAnsi="宋体" w:eastAsia="宋体"/>
          <w:sz w:val="28"/>
          <w:szCs w:val="28"/>
        </w:rPr>
      </w:pPr>
      <w:r>
        <w:rPr>
          <w:rFonts w:hint="eastAsia" w:ascii="宋体" w:hAnsi="宋体" w:eastAsia="宋体"/>
          <w:sz w:val="28"/>
          <w:szCs w:val="28"/>
        </w:rPr>
        <w:t>GB 5749 生活饮用水卫生标准</w:t>
      </w:r>
    </w:p>
    <w:p w14:paraId="7127BC4A">
      <w:pPr>
        <w:spacing w:line="360" w:lineRule="auto"/>
        <w:jc w:val="left"/>
        <w:rPr>
          <w:rFonts w:hint="eastAsia" w:ascii="宋体" w:hAnsi="宋体" w:eastAsia="宋体"/>
          <w:sz w:val="28"/>
          <w:szCs w:val="28"/>
        </w:rPr>
      </w:pPr>
      <w:r>
        <w:rPr>
          <w:rFonts w:hint="eastAsia" w:ascii="宋体" w:hAnsi="宋体" w:eastAsia="宋体"/>
          <w:sz w:val="28"/>
          <w:szCs w:val="28"/>
        </w:rPr>
        <w:t xml:space="preserve">    GB 2760 食品安全国家标准 食品添加剂使用标准</w:t>
      </w:r>
    </w:p>
    <w:p w14:paraId="60904464">
      <w:pPr>
        <w:spacing w:line="360" w:lineRule="auto"/>
        <w:jc w:val="left"/>
        <w:rPr>
          <w:rFonts w:hint="eastAsia" w:ascii="宋体" w:hAnsi="宋体" w:eastAsia="宋体"/>
          <w:sz w:val="28"/>
          <w:szCs w:val="28"/>
        </w:rPr>
      </w:pPr>
      <w:r>
        <w:rPr>
          <w:rFonts w:hint="eastAsia" w:ascii="宋体" w:hAnsi="宋体" w:eastAsia="宋体"/>
          <w:sz w:val="28"/>
          <w:szCs w:val="28"/>
        </w:rPr>
        <w:t xml:space="preserve">    GB 2762 食品安全国家标准 食品中污染物限量</w:t>
      </w:r>
    </w:p>
    <w:p w14:paraId="3D9DBE89">
      <w:pPr>
        <w:spacing w:line="360" w:lineRule="auto"/>
        <w:jc w:val="left"/>
        <w:rPr>
          <w:rFonts w:hint="eastAsia" w:ascii="宋体" w:hAnsi="宋体" w:eastAsia="宋体"/>
          <w:sz w:val="28"/>
          <w:szCs w:val="28"/>
        </w:rPr>
      </w:pPr>
      <w:r>
        <w:rPr>
          <w:rFonts w:hint="eastAsia" w:ascii="宋体" w:hAnsi="宋体" w:eastAsia="宋体"/>
          <w:sz w:val="28"/>
          <w:szCs w:val="28"/>
        </w:rPr>
        <w:t xml:space="preserve">    GB 14880 食品安全国家标准 食品营养强化剂使用标准</w:t>
      </w:r>
    </w:p>
    <w:p w14:paraId="14E573ED">
      <w:pPr>
        <w:spacing w:line="360" w:lineRule="auto"/>
        <w:jc w:val="left"/>
        <w:rPr>
          <w:rFonts w:hint="eastAsia" w:ascii="宋体" w:hAnsi="宋体" w:eastAsia="宋体"/>
          <w:sz w:val="28"/>
          <w:szCs w:val="28"/>
        </w:rPr>
      </w:pPr>
      <w:r>
        <w:rPr>
          <w:rFonts w:hint="eastAsia" w:ascii="宋体" w:hAnsi="宋体" w:eastAsia="宋体"/>
          <w:sz w:val="28"/>
          <w:szCs w:val="28"/>
        </w:rPr>
        <w:t xml:space="preserve">    GB 14881 食品安全国家标准 食品生产通用卫生规范</w:t>
      </w:r>
    </w:p>
    <w:p w14:paraId="1A8AC2A8">
      <w:pPr>
        <w:spacing w:line="360" w:lineRule="auto"/>
        <w:jc w:val="left"/>
        <w:rPr>
          <w:rFonts w:hint="eastAsia" w:ascii="宋体" w:hAnsi="宋体" w:eastAsia="宋体"/>
          <w:sz w:val="28"/>
          <w:szCs w:val="28"/>
        </w:rPr>
      </w:pPr>
      <w:r>
        <w:rPr>
          <w:rFonts w:hint="eastAsia" w:ascii="宋体" w:hAnsi="宋体" w:eastAsia="宋体"/>
          <w:sz w:val="28"/>
          <w:szCs w:val="28"/>
        </w:rPr>
        <w:t xml:space="preserve">    GB 7101 食品安全国家标准 饮料</w:t>
      </w:r>
    </w:p>
    <w:p w14:paraId="7D641E84">
      <w:pPr>
        <w:spacing w:line="360" w:lineRule="auto"/>
        <w:jc w:val="left"/>
        <w:rPr>
          <w:rFonts w:hint="eastAsia" w:ascii="宋体" w:hAnsi="宋体" w:eastAsia="宋体"/>
          <w:sz w:val="28"/>
          <w:szCs w:val="28"/>
        </w:rPr>
      </w:pPr>
      <w:r>
        <w:rPr>
          <w:rFonts w:hint="eastAsia" w:ascii="宋体" w:hAnsi="宋体" w:eastAsia="宋体"/>
          <w:sz w:val="28"/>
          <w:szCs w:val="28"/>
        </w:rPr>
        <w:t xml:space="preserve">    GB 7718 食品安全国家标准 预包装食品标签通则</w:t>
      </w:r>
    </w:p>
    <w:p w14:paraId="5C2B913F">
      <w:pPr>
        <w:spacing w:line="360" w:lineRule="auto"/>
        <w:jc w:val="left"/>
        <w:rPr>
          <w:rFonts w:hint="eastAsia" w:ascii="宋体" w:hAnsi="宋体" w:eastAsia="宋体"/>
          <w:sz w:val="28"/>
          <w:szCs w:val="28"/>
        </w:rPr>
      </w:pPr>
      <w:r>
        <w:rPr>
          <w:rFonts w:hint="eastAsia" w:ascii="宋体" w:hAnsi="宋体" w:eastAsia="宋体"/>
          <w:sz w:val="28"/>
          <w:szCs w:val="28"/>
        </w:rPr>
        <w:t xml:space="preserve">    GB 28050 食品安全国家标准 预包装食品营养标签通则</w:t>
      </w:r>
    </w:p>
    <w:p w14:paraId="207DC907">
      <w:pPr>
        <w:spacing w:line="360" w:lineRule="auto"/>
        <w:jc w:val="left"/>
        <w:rPr>
          <w:rFonts w:hint="eastAsia" w:ascii="宋体" w:hAnsi="宋体" w:eastAsia="宋体"/>
          <w:sz w:val="28"/>
          <w:szCs w:val="28"/>
        </w:rPr>
      </w:pPr>
      <w:r>
        <w:rPr>
          <w:rFonts w:hint="eastAsia" w:ascii="宋体" w:hAnsi="宋体" w:eastAsia="宋体"/>
          <w:sz w:val="28"/>
          <w:szCs w:val="28"/>
        </w:rPr>
        <w:t xml:space="preserve">    GB 4789系列 食品安全国家标准 食品微生物学检验</w:t>
      </w:r>
    </w:p>
    <w:p w14:paraId="13BE4919">
      <w:pPr>
        <w:spacing w:line="360" w:lineRule="auto"/>
        <w:jc w:val="left"/>
        <w:rPr>
          <w:rFonts w:hint="eastAsia" w:ascii="宋体" w:hAnsi="宋体" w:eastAsia="宋体"/>
          <w:sz w:val="28"/>
          <w:szCs w:val="28"/>
        </w:rPr>
      </w:pPr>
      <w:r>
        <w:rPr>
          <w:rFonts w:hint="eastAsia" w:ascii="宋体" w:hAnsi="宋体" w:eastAsia="宋体"/>
          <w:sz w:val="28"/>
          <w:szCs w:val="28"/>
        </w:rPr>
        <w:t xml:space="preserve">    GB 5009系列 食品安全国家标准 食品理化检验</w:t>
      </w:r>
    </w:p>
    <w:p w14:paraId="345620A3">
      <w:pPr>
        <w:spacing w:line="360" w:lineRule="auto"/>
        <w:jc w:val="left"/>
        <w:rPr>
          <w:rFonts w:hint="eastAsia" w:ascii="宋体" w:hAnsi="宋体" w:eastAsia="宋体"/>
          <w:sz w:val="28"/>
          <w:szCs w:val="28"/>
        </w:rPr>
      </w:pPr>
      <w:r>
        <w:rPr>
          <w:rFonts w:hint="eastAsia" w:ascii="宋体" w:hAnsi="宋体" w:eastAsia="宋体"/>
          <w:sz w:val="28"/>
          <w:szCs w:val="28"/>
        </w:rPr>
        <w:t xml:space="preserve">    GB/T 5750 生活饮用水标准检验方法</w:t>
      </w:r>
    </w:p>
    <w:p w14:paraId="73FDBD77">
      <w:pPr>
        <w:spacing w:line="360" w:lineRule="auto"/>
        <w:jc w:val="left"/>
        <w:rPr>
          <w:rFonts w:hint="eastAsia" w:ascii="宋体" w:hAnsi="宋体" w:eastAsia="宋体"/>
          <w:sz w:val="28"/>
          <w:szCs w:val="28"/>
        </w:rPr>
      </w:pPr>
      <w:r>
        <w:rPr>
          <w:rFonts w:hint="eastAsia" w:ascii="宋体" w:hAnsi="宋体" w:eastAsia="宋体"/>
          <w:sz w:val="28"/>
          <w:szCs w:val="28"/>
        </w:rPr>
        <w:t xml:space="preserve">    GB/T 12143 饮料通用分析方法</w:t>
      </w:r>
    </w:p>
    <w:p w14:paraId="4D1D95DB">
      <w:pPr>
        <w:spacing w:line="360" w:lineRule="auto"/>
        <w:ind w:firstLine="560"/>
        <w:jc w:val="left"/>
        <w:rPr>
          <w:rFonts w:hint="eastAsia" w:ascii="宋体" w:hAnsi="宋体" w:eastAsia="宋体"/>
          <w:sz w:val="28"/>
          <w:szCs w:val="28"/>
        </w:rPr>
      </w:pPr>
      <w:r>
        <w:rPr>
          <w:rFonts w:hint="eastAsia" w:ascii="宋体" w:hAnsi="宋体" w:eastAsia="宋体"/>
          <w:sz w:val="28"/>
          <w:szCs w:val="28"/>
        </w:rPr>
        <w:t>JJF 1070 定量包装商品净含量计量检验规则</w:t>
      </w:r>
    </w:p>
    <w:p w14:paraId="1AF7BD1B">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4E07A3E3">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320F9909">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GB/T 1.1最新版本的要求进行编写</w:t>
      </w:r>
      <w:r>
        <w:rPr>
          <w:rFonts w:hint="eastAsia" w:ascii="宋体" w:hAnsi="宋体" w:eastAsia="宋体"/>
          <w:sz w:val="28"/>
          <w:szCs w:val="28"/>
        </w:rPr>
        <w:t>。</w:t>
      </w:r>
    </w:p>
    <w:p w14:paraId="76910693">
      <w:pPr>
        <w:spacing w:line="360" w:lineRule="auto"/>
        <w:jc w:val="left"/>
        <w:rPr>
          <w:rFonts w:hint="eastAsia"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w:t>
      </w:r>
    </w:p>
    <w:p w14:paraId="2170DC37">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本标准送审稿包括</w:t>
      </w:r>
      <w:r>
        <w:rPr>
          <w:rFonts w:hint="eastAsia" w:ascii="宋体" w:hAnsi="宋体" w:eastAsia="宋体"/>
          <w:color w:val="000000" w:themeColor="text1"/>
          <w:sz w:val="28"/>
          <w:szCs w:val="28"/>
          <w:lang w:val="en-US" w:eastAsia="zh-CN"/>
          <w14:textFill>
            <w14:solidFill>
              <w14:schemeClr w14:val="tx1"/>
            </w14:solidFill>
          </w14:textFill>
        </w:rPr>
        <w:t>12</w:t>
      </w:r>
      <w:r>
        <w:rPr>
          <w:rFonts w:ascii="宋体" w:hAnsi="宋体" w:eastAsia="宋体"/>
          <w:sz w:val="28"/>
          <w:szCs w:val="28"/>
        </w:rPr>
        <w:t>个部分，主要内容如下：</w:t>
      </w:r>
    </w:p>
    <w:p w14:paraId="25498BEA">
      <w:pPr>
        <w:spacing w:line="360" w:lineRule="auto"/>
        <w:jc w:val="left"/>
        <w:rPr>
          <w:rFonts w:hint="eastAsia" w:ascii="宋体" w:hAnsi="宋体" w:eastAsia="宋体"/>
          <w:sz w:val="28"/>
          <w:szCs w:val="28"/>
        </w:rPr>
      </w:pPr>
      <w:r>
        <w:rPr>
          <w:rFonts w:hint="eastAsia" w:ascii="宋体" w:hAnsi="宋体" w:eastAsia="宋体"/>
          <w:sz w:val="28"/>
          <w:szCs w:val="28"/>
        </w:rPr>
        <w:t>1 范围：规定了低Hz饮料的术语和定义、产品分类、技术要求、食品添加剂与营养强化剂、生产加工卫生要求、检验方法、检验规则、标签标志、包装、运输、贮存和保质期。适用于以水为原料经物理处理形成的低Hz水，添加符合国标要求的添加剂制成的预包装日常饮料。</w:t>
      </w:r>
    </w:p>
    <w:p w14:paraId="30EC4925">
      <w:pPr>
        <w:spacing w:line="360" w:lineRule="auto"/>
        <w:jc w:val="left"/>
        <w:rPr>
          <w:rFonts w:hint="eastAsia" w:ascii="宋体" w:hAnsi="宋体" w:eastAsia="宋体"/>
          <w:sz w:val="28"/>
          <w:szCs w:val="28"/>
        </w:rPr>
      </w:pPr>
      <w:r>
        <w:rPr>
          <w:rFonts w:hint="eastAsia" w:ascii="宋体" w:hAnsi="宋体" w:eastAsia="宋体"/>
          <w:sz w:val="28"/>
          <w:szCs w:val="28"/>
        </w:rPr>
        <w:t>2 规范性引用文件：列出了本文件引用的主要标准文件。</w:t>
      </w:r>
    </w:p>
    <w:p w14:paraId="41EBBB07">
      <w:pPr>
        <w:spacing w:line="360" w:lineRule="auto"/>
        <w:jc w:val="left"/>
        <w:rPr>
          <w:rFonts w:hint="eastAsia" w:ascii="宋体" w:hAnsi="宋体" w:eastAsia="宋体"/>
          <w:sz w:val="28"/>
          <w:szCs w:val="28"/>
        </w:rPr>
      </w:pPr>
      <w:r>
        <w:rPr>
          <w:rFonts w:hint="eastAsia" w:ascii="宋体" w:hAnsi="宋体" w:eastAsia="宋体"/>
          <w:sz w:val="28"/>
          <w:szCs w:val="28"/>
        </w:rPr>
        <w:t>3 术语和定义：给出了低Hz饮料的定义。</w:t>
      </w:r>
    </w:p>
    <w:p w14:paraId="24722CFF">
      <w:pPr>
        <w:spacing w:line="360" w:lineRule="auto"/>
        <w:jc w:val="left"/>
        <w:rPr>
          <w:rFonts w:hint="eastAsia" w:ascii="宋体" w:hAnsi="宋体" w:eastAsia="宋体"/>
          <w:sz w:val="28"/>
          <w:szCs w:val="28"/>
        </w:rPr>
      </w:pPr>
      <w:r>
        <w:rPr>
          <w:rFonts w:hint="eastAsia" w:ascii="宋体" w:hAnsi="宋体" w:eastAsia="宋体"/>
          <w:sz w:val="28"/>
          <w:szCs w:val="28"/>
        </w:rPr>
        <w:t>4 产品分类：分为果汁型、茶味型、其他型三类。</w:t>
      </w:r>
    </w:p>
    <w:p w14:paraId="6DC198FE">
      <w:pPr>
        <w:spacing w:line="360" w:lineRule="auto"/>
        <w:jc w:val="left"/>
        <w:rPr>
          <w:rFonts w:hint="eastAsia" w:ascii="宋体" w:hAnsi="宋体" w:eastAsia="宋体"/>
          <w:sz w:val="28"/>
          <w:szCs w:val="28"/>
        </w:rPr>
      </w:pPr>
      <w:r>
        <w:rPr>
          <w:rFonts w:hint="eastAsia" w:ascii="宋体" w:hAnsi="宋体" w:eastAsia="宋体"/>
          <w:sz w:val="28"/>
          <w:szCs w:val="28"/>
        </w:rPr>
        <w:t>5 技术要求：包括原辅料要求、感官要求、理化指标、低Hz水核心强化指标（半辐宽）、矿物质强化指标、污染物限量、微生物限量、净含量等。</w:t>
      </w:r>
    </w:p>
    <w:p w14:paraId="11262C96">
      <w:pPr>
        <w:spacing w:line="360" w:lineRule="auto"/>
        <w:jc w:val="left"/>
        <w:rPr>
          <w:rFonts w:hint="eastAsia" w:ascii="宋体" w:hAnsi="宋体" w:eastAsia="宋体"/>
          <w:sz w:val="28"/>
          <w:szCs w:val="28"/>
        </w:rPr>
      </w:pPr>
      <w:r>
        <w:rPr>
          <w:rFonts w:hint="eastAsia" w:ascii="宋体" w:hAnsi="宋体" w:eastAsia="宋体"/>
          <w:sz w:val="28"/>
          <w:szCs w:val="28"/>
        </w:rPr>
        <w:t>6 食品添加剂与营养强化剂：规定使用应符合GB 2760和GB 14880。</w:t>
      </w:r>
    </w:p>
    <w:p w14:paraId="1AAAC398">
      <w:pPr>
        <w:spacing w:line="360" w:lineRule="auto"/>
        <w:jc w:val="left"/>
        <w:rPr>
          <w:rFonts w:hint="eastAsia" w:ascii="宋体" w:hAnsi="宋体" w:eastAsia="宋体"/>
          <w:sz w:val="28"/>
          <w:szCs w:val="28"/>
        </w:rPr>
      </w:pPr>
      <w:r>
        <w:rPr>
          <w:rFonts w:hint="eastAsia" w:ascii="宋体" w:hAnsi="宋体" w:eastAsia="宋体"/>
          <w:sz w:val="28"/>
          <w:szCs w:val="28"/>
        </w:rPr>
        <w:t>7 生产加工过程卫生要求：应符合GB 14881。</w:t>
      </w:r>
    </w:p>
    <w:p w14:paraId="44E78929">
      <w:pPr>
        <w:spacing w:line="360" w:lineRule="auto"/>
        <w:jc w:val="left"/>
        <w:rPr>
          <w:rFonts w:hint="eastAsia" w:ascii="宋体" w:hAnsi="宋体" w:eastAsia="宋体"/>
          <w:sz w:val="28"/>
          <w:szCs w:val="28"/>
        </w:rPr>
      </w:pPr>
      <w:r>
        <w:rPr>
          <w:rFonts w:hint="eastAsia" w:ascii="宋体" w:hAnsi="宋体" w:eastAsia="宋体"/>
          <w:sz w:val="28"/>
          <w:szCs w:val="28"/>
        </w:rPr>
        <w:t>8 检验方法：对应各项指标的检验方法。</w:t>
      </w:r>
    </w:p>
    <w:p w14:paraId="11EAC20B">
      <w:pPr>
        <w:spacing w:line="360" w:lineRule="auto"/>
        <w:jc w:val="left"/>
        <w:rPr>
          <w:rFonts w:hint="eastAsia" w:ascii="宋体" w:hAnsi="宋体" w:eastAsia="宋体"/>
          <w:sz w:val="28"/>
          <w:szCs w:val="28"/>
        </w:rPr>
      </w:pPr>
      <w:r>
        <w:rPr>
          <w:rFonts w:hint="eastAsia" w:ascii="宋体" w:hAnsi="宋体" w:eastAsia="宋体"/>
          <w:sz w:val="28"/>
          <w:szCs w:val="28"/>
        </w:rPr>
        <w:t>9 检验规则：包括组批、抽样、出厂检验、型式检验、判定规则。</w:t>
      </w:r>
    </w:p>
    <w:p w14:paraId="6CA0BAF3">
      <w:pPr>
        <w:spacing w:line="360" w:lineRule="auto"/>
        <w:jc w:val="left"/>
        <w:rPr>
          <w:rFonts w:hint="eastAsia" w:ascii="宋体" w:hAnsi="宋体" w:eastAsia="宋体"/>
          <w:sz w:val="28"/>
          <w:szCs w:val="28"/>
        </w:rPr>
      </w:pPr>
      <w:r>
        <w:rPr>
          <w:rFonts w:hint="eastAsia" w:ascii="宋体" w:hAnsi="宋体" w:eastAsia="宋体"/>
          <w:sz w:val="28"/>
          <w:szCs w:val="28"/>
        </w:rPr>
        <w:t>10 标签、标志、包装、运输、贮存：规定标签内容及包装贮运要求。</w:t>
      </w:r>
    </w:p>
    <w:p w14:paraId="46F95FEE">
      <w:pPr>
        <w:spacing w:line="360" w:lineRule="auto"/>
        <w:jc w:val="left"/>
        <w:rPr>
          <w:rFonts w:hint="eastAsia" w:ascii="宋体" w:hAnsi="宋体" w:eastAsia="宋体"/>
          <w:sz w:val="28"/>
          <w:szCs w:val="28"/>
        </w:rPr>
      </w:pPr>
      <w:r>
        <w:rPr>
          <w:rFonts w:hint="eastAsia" w:ascii="宋体" w:hAnsi="宋体" w:eastAsia="宋体"/>
          <w:sz w:val="28"/>
          <w:szCs w:val="28"/>
        </w:rPr>
        <w:t>11 保质期：密封瓶装不低于12个月。</w:t>
      </w:r>
    </w:p>
    <w:p w14:paraId="047611D7">
      <w:pPr>
        <w:spacing w:line="360" w:lineRule="auto"/>
        <w:jc w:val="left"/>
        <w:rPr>
          <w:rFonts w:hint="eastAsia" w:ascii="宋体" w:hAnsi="宋体" w:eastAsia="宋体"/>
          <w:sz w:val="28"/>
          <w:szCs w:val="28"/>
        </w:rPr>
      </w:pPr>
      <w:r>
        <w:rPr>
          <w:rFonts w:hint="eastAsia" w:ascii="宋体" w:hAnsi="宋体" w:eastAsia="宋体"/>
          <w:sz w:val="28"/>
          <w:szCs w:val="28"/>
        </w:rPr>
        <w:t>12 其他：未尽事宜按国家相关法律法规执行。</w:t>
      </w:r>
    </w:p>
    <w:p w14:paraId="62C969D4">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p>
    <w:p w14:paraId="3865DC5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本标准中涉及的矿物质及维生素添加量，已对照GB 14880《食品安全国家标准 食品营养强化剂使用标准》中“风味饮料”类别的允许使用量进行逐项验证。半辐宽（&lt;sup&gt;17&lt;/sup&gt;O-NMR FWHM）检测方法由起草单位委托第三方检测机构（如中科广化（重庆）新材料研究院有限公司）进行方法验证，检测结果显示样品半辐宽值在30~60 Hz范围内具有较好的重复性。</w:t>
      </w:r>
    </w:p>
    <w:p w14:paraId="36D078DC">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p>
    <w:p w14:paraId="594BBDE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本文件的发布机构不承担识别专利的责任。</w:t>
      </w:r>
    </w:p>
    <w:p w14:paraId="50520D92">
      <w:pPr>
        <w:spacing w:line="360" w:lineRule="auto"/>
        <w:jc w:val="left"/>
        <w:rPr>
          <w:rFonts w:hint="eastAsia" w:ascii="宋体" w:hAnsi="宋体" w:eastAsia="宋体"/>
          <w:b/>
          <w:bCs/>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373E8DD9">
      <w:pPr>
        <w:spacing w:line="360" w:lineRule="auto"/>
        <w:jc w:val="left"/>
        <w:rPr>
          <w:rFonts w:hint="eastAsia" w:ascii="宋体" w:hAnsi="宋体" w:eastAsia="宋体"/>
          <w:bCs/>
          <w:sz w:val="28"/>
          <w:szCs w:val="28"/>
        </w:rPr>
      </w:pPr>
      <w:r>
        <w:rPr>
          <w:rFonts w:hint="eastAsia" w:ascii="宋体" w:hAnsi="宋体" w:eastAsia="宋体"/>
          <w:bCs/>
          <w:sz w:val="28"/>
          <w:szCs w:val="28"/>
        </w:rPr>
        <w:t>本标准实施预期实现多重效益，助力低频处理饮料产业高质量发展。</w:t>
      </w:r>
    </w:p>
    <w:p w14:paraId="25C7F5B0">
      <w:pPr>
        <w:spacing w:line="360" w:lineRule="auto"/>
        <w:jc w:val="left"/>
        <w:rPr>
          <w:rFonts w:hint="eastAsia" w:ascii="宋体" w:hAnsi="宋体" w:eastAsia="宋体"/>
          <w:bCs/>
          <w:sz w:val="28"/>
          <w:szCs w:val="28"/>
        </w:rPr>
      </w:pPr>
      <w:r>
        <w:rPr>
          <w:rFonts w:hint="eastAsia" w:ascii="宋体" w:hAnsi="宋体" w:eastAsia="宋体"/>
          <w:bCs/>
          <w:sz w:val="28"/>
          <w:szCs w:val="28"/>
        </w:rPr>
        <w:t>经济效益：规范产品技术指标，引导企业合规生产，减少因添加量不当导致的食品安全风险；统一检测方法，降低企业质量管控成本；提升产品技术含量与市场竞争力，推动产业从概念炒作向技术驱动转型。</w:t>
      </w:r>
    </w:p>
    <w:p w14:paraId="16485425">
      <w:pPr>
        <w:spacing w:line="360" w:lineRule="auto"/>
        <w:ind w:firstLine="560" w:firstLineChars="200"/>
        <w:jc w:val="left"/>
        <w:rPr>
          <w:rFonts w:hint="eastAsia" w:ascii="宋体" w:hAnsi="宋体" w:eastAsia="宋体"/>
          <w:bCs/>
          <w:sz w:val="28"/>
          <w:szCs w:val="28"/>
        </w:rPr>
      </w:pPr>
      <w:r>
        <w:rPr>
          <w:rFonts w:hint="eastAsia" w:ascii="宋体" w:hAnsi="宋体" w:eastAsia="宋体"/>
          <w:bCs/>
          <w:sz w:val="28"/>
          <w:szCs w:val="28"/>
        </w:rPr>
        <w:t>社会效益：保障消费者知情权与健康安全，明确营养成分的合规添加范围，防止超范围、超剂量使用；规范标签标识，杜绝虚假宣传，提升行业公信力。</w:t>
      </w:r>
    </w:p>
    <w:p w14:paraId="07BB4FC1">
      <w:pPr>
        <w:spacing w:line="360" w:lineRule="auto"/>
        <w:ind w:firstLine="560" w:firstLineChars="200"/>
        <w:jc w:val="left"/>
        <w:rPr>
          <w:rFonts w:hint="eastAsia" w:ascii="宋体" w:hAnsi="宋体" w:eastAsia="宋体"/>
          <w:bCs/>
          <w:sz w:val="28"/>
          <w:szCs w:val="28"/>
        </w:rPr>
      </w:pPr>
      <w:r>
        <w:rPr>
          <w:rFonts w:hint="eastAsia" w:ascii="宋体" w:hAnsi="宋体" w:eastAsia="宋体"/>
          <w:bCs/>
          <w:sz w:val="28"/>
          <w:szCs w:val="28"/>
        </w:rPr>
        <w:t>对产业发展作用：填补低频处理饮料领域的技术规范空白，为生产企业、监管机构及第三方检测提供清晰的技术依据，推动产业朝着标准化、规范化、高质量的方向发展。</w:t>
      </w:r>
    </w:p>
    <w:p w14:paraId="1500DF5D">
      <w:pPr>
        <w:spacing w:line="360" w:lineRule="auto"/>
        <w:jc w:val="left"/>
        <w:rPr>
          <w:rFonts w:hint="eastAsia" w:ascii="宋体" w:hAnsi="宋体" w:eastAsia="宋体"/>
          <w:b/>
          <w:bCs/>
          <w:sz w:val="28"/>
          <w:szCs w:val="28"/>
        </w:rPr>
      </w:pPr>
      <w:r>
        <w:rPr>
          <w:rFonts w:hint="eastAsia" w:ascii="宋体" w:hAnsi="宋体" w:eastAsia="宋体"/>
          <w:b/>
          <w:bCs/>
          <w:sz w:val="28"/>
          <w:szCs w:val="28"/>
        </w:rPr>
        <w:t>（六）与现行相关法律、法规、规章及相关标准，特别是强制性标准的协调性</w:t>
      </w:r>
    </w:p>
    <w:p w14:paraId="1A633405">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本标准符合现行相关法律、法规、规章及相关标准的要求，与GB 7101《食品安全国家标准 饮料》、GB 14880《食品安全国家标准 食品营养强化剂使用标准》、GB 2760《食品安全国家标准 食品添加剂使用标准》等强制性标准协调一致。本标准在强制性标准的基础上，针对低频处理饮料的特殊性进行了细化和补充，未设定低于强制性标准的技术要求。</w:t>
      </w:r>
    </w:p>
    <w:p w14:paraId="2A776664">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（七）重大分歧意见的处理依据和结果</w:t>
      </w:r>
    </w:p>
    <w:p w14:paraId="50D4CE8C">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6C1DFFA2">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2405B922">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本标准为团体标准，供社会各界自愿使用。</w:t>
      </w:r>
    </w:p>
    <w:p w14:paraId="2BF39F34">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3E1F8386">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406BC0D1">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bookmarkStart w:id="2" w:name="_GoBack"/>
      <w:bookmarkEnd w:id="2"/>
    </w:p>
    <w:p w14:paraId="4007084E">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本标准为首次发布。</w:t>
      </w:r>
    </w:p>
    <w:p w14:paraId="7E77300B">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3AE1BEED">
      <w:pPr>
        <w:topLinePunct/>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017A0CFA">
      <w:pPr>
        <w:topLinePunct/>
        <w:spacing w:line="360" w:lineRule="auto"/>
        <w:ind w:firstLine="560" w:firstLineChars="200"/>
        <w:jc w:val="right"/>
        <w:rPr>
          <w:rFonts w:hint="eastAsia" w:ascii="宋体" w:hAnsi="宋体" w:eastAsia="宋体"/>
          <w:sz w:val="28"/>
          <w:szCs w:val="28"/>
        </w:rPr>
      </w:pPr>
    </w:p>
    <w:p w14:paraId="3E92EDFB">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lang w:val="en-US" w:eastAsia="zh-CN"/>
        </w:rPr>
        <w:t>标准</w:t>
      </w:r>
      <w:r>
        <w:rPr>
          <w:rFonts w:hint="eastAsia" w:ascii="宋体" w:hAnsi="宋体" w:eastAsia="宋体"/>
          <w:sz w:val="28"/>
          <w:szCs w:val="28"/>
        </w:rPr>
        <w:t>起草组</w:t>
      </w:r>
    </w:p>
    <w:p w14:paraId="4DCC37E3">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202</w:t>
      </w:r>
      <w:r>
        <w:rPr>
          <w:rFonts w:hint="eastAsia" w:ascii="宋体" w:hAnsi="宋体" w:eastAsia="宋体"/>
          <w:sz w:val="28"/>
          <w:szCs w:val="28"/>
        </w:rPr>
        <w:t>6</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p>
    <w:sectPr>
      <w:type w:val="continuous"/>
      <w:pgSz w:w="11906" w:h="16841"/>
      <w:pgMar w:top="1440" w:right="1519" w:bottom="1440" w:left="1633"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E2D10B88-728D-40A2-B2C7-8BF381A938F7}"/>
  </w:font>
  <w:font w:name="迷你简小标宋">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2" w:fontKey="{36E6A7A7-ADC3-4EA7-BDAB-40F4EFC7E7DE}"/>
  </w:font>
  <w:font w:name="方正小标宋简体">
    <w:panose1 w:val="02000000000000000000"/>
    <w:charset w:val="86"/>
    <w:family w:val="auto"/>
    <w:pitch w:val="default"/>
    <w:sig w:usb0="00000001" w:usb1="08000000" w:usb2="00000000" w:usb3="00000000" w:csb0="00040000" w:csb1="00000000"/>
    <w:embedRegular r:id="rId3" w:fontKey="{2F192560-8C01-4C11-B088-6B99B26F98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OTA4NDA3MTdjMTYwMTgxZjgxYzgzYzUwMWVhYmMifQ=="/>
  </w:docVars>
  <w:rsids>
    <w:rsidRoot w:val="00080FCE"/>
    <w:rsid w:val="00013CD7"/>
    <w:rsid w:val="00014CFE"/>
    <w:rsid w:val="000154D2"/>
    <w:rsid w:val="00021E0D"/>
    <w:rsid w:val="00031415"/>
    <w:rsid w:val="000338AA"/>
    <w:rsid w:val="0003498C"/>
    <w:rsid w:val="000351B6"/>
    <w:rsid w:val="00035F97"/>
    <w:rsid w:val="0003604E"/>
    <w:rsid w:val="00057D18"/>
    <w:rsid w:val="00057DCF"/>
    <w:rsid w:val="000711D3"/>
    <w:rsid w:val="00076E6A"/>
    <w:rsid w:val="00077241"/>
    <w:rsid w:val="0007729C"/>
    <w:rsid w:val="00080FCE"/>
    <w:rsid w:val="00086D78"/>
    <w:rsid w:val="000947A0"/>
    <w:rsid w:val="000A002F"/>
    <w:rsid w:val="000C4FE5"/>
    <w:rsid w:val="000D0865"/>
    <w:rsid w:val="000D7E80"/>
    <w:rsid w:val="000F09E9"/>
    <w:rsid w:val="00100F6C"/>
    <w:rsid w:val="00100FA1"/>
    <w:rsid w:val="0010144C"/>
    <w:rsid w:val="0010711D"/>
    <w:rsid w:val="001171FC"/>
    <w:rsid w:val="00122E25"/>
    <w:rsid w:val="00124E74"/>
    <w:rsid w:val="00141714"/>
    <w:rsid w:val="0014309C"/>
    <w:rsid w:val="001552ED"/>
    <w:rsid w:val="00172D1B"/>
    <w:rsid w:val="00184316"/>
    <w:rsid w:val="001858EA"/>
    <w:rsid w:val="001864A8"/>
    <w:rsid w:val="00186EE4"/>
    <w:rsid w:val="001A3971"/>
    <w:rsid w:val="001A7B8A"/>
    <w:rsid w:val="001C2B1E"/>
    <w:rsid w:val="001E3A5D"/>
    <w:rsid w:val="001E679F"/>
    <w:rsid w:val="001E6EA2"/>
    <w:rsid w:val="001F69DF"/>
    <w:rsid w:val="00200A33"/>
    <w:rsid w:val="002022FC"/>
    <w:rsid w:val="00207285"/>
    <w:rsid w:val="00211902"/>
    <w:rsid w:val="002212B2"/>
    <w:rsid w:val="00222BEC"/>
    <w:rsid w:val="00223390"/>
    <w:rsid w:val="00223697"/>
    <w:rsid w:val="00227D9E"/>
    <w:rsid w:val="00233775"/>
    <w:rsid w:val="00243E95"/>
    <w:rsid w:val="00253FA1"/>
    <w:rsid w:val="00262745"/>
    <w:rsid w:val="00286CEE"/>
    <w:rsid w:val="002A116B"/>
    <w:rsid w:val="002A16BD"/>
    <w:rsid w:val="002A61AE"/>
    <w:rsid w:val="002B10E1"/>
    <w:rsid w:val="002C4598"/>
    <w:rsid w:val="002C7C84"/>
    <w:rsid w:val="002D034B"/>
    <w:rsid w:val="002D3B60"/>
    <w:rsid w:val="002D50C9"/>
    <w:rsid w:val="002E34E6"/>
    <w:rsid w:val="002F31B5"/>
    <w:rsid w:val="002F3F4D"/>
    <w:rsid w:val="002F6FC0"/>
    <w:rsid w:val="002F74D7"/>
    <w:rsid w:val="003012C7"/>
    <w:rsid w:val="00301337"/>
    <w:rsid w:val="00302D95"/>
    <w:rsid w:val="00303436"/>
    <w:rsid w:val="003073A8"/>
    <w:rsid w:val="00323B43"/>
    <w:rsid w:val="0033177C"/>
    <w:rsid w:val="00343636"/>
    <w:rsid w:val="0035755B"/>
    <w:rsid w:val="003630F1"/>
    <w:rsid w:val="00365C6D"/>
    <w:rsid w:val="00370A6E"/>
    <w:rsid w:val="00374298"/>
    <w:rsid w:val="003B6409"/>
    <w:rsid w:val="003B64A7"/>
    <w:rsid w:val="003B6ADD"/>
    <w:rsid w:val="003B7736"/>
    <w:rsid w:val="003C0E1C"/>
    <w:rsid w:val="003C4C2B"/>
    <w:rsid w:val="003D0A99"/>
    <w:rsid w:val="003D0D34"/>
    <w:rsid w:val="003F5B68"/>
    <w:rsid w:val="003F6507"/>
    <w:rsid w:val="00404914"/>
    <w:rsid w:val="00416259"/>
    <w:rsid w:val="0041720D"/>
    <w:rsid w:val="0042143B"/>
    <w:rsid w:val="00422C26"/>
    <w:rsid w:val="00427393"/>
    <w:rsid w:val="004357F5"/>
    <w:rsid w:val="00461E03"/>
    <w:rsid w:val="00462A1E"/>
    <w:rsid w:val="00463660"/>
    <w:rsid w:val="0046647D"/>
    <w:rsid w:val="00467311"/>
    <w:rsid w:val="00482959"/>
    <w:rsid w:val="00483E9D"/>
    <w:rsid w:val="00494C14"/>
    <w:rsid w:val="00494E94"/>
    <w:rsid w:val="00495229"/>
    <w:rsid w:val="004A0525"/>
    <w:rsid w:val="004A16F3"/>
    <w:rsid w:val="004A5E54"/>
    <w:rsid w:val="004A6980"/>
    <w:rsid w:val="004A6E9D"/>
    <w:rsid w:val="004B116E"/>
    <w:rsid w:val="004C7FBE"/>
    <w:rsid w:val="004D46D1"/>
    <w:rsid w:val="004D5495"/>
    <w:rsid w:val="004D7F0E"/>
    <w:rsid w:val="004E0733"/>
    <w:rsid w:val="004E4E1B"/>
    <w:rsid w:val="004F1069"/>
    <w:rsid w:val="004F32FF"/>
    <w:rsid w:val="00503480"/>
    <w:rsid w:val="00510A20"/>
    <w:rsid w:val="0052542A"/>
    <w:rsid w:val="005257B3"/>
    <w:rsid w:val="00543CA9"/>
    <w:rsid w:val="00544B21"/>
    <w:rsid w:val="00546FBB"/>
    <w:rsid w:val="00555D75"/>
    <w:rsid w:val="005577F8"/>
    <w:rsid w:val="005655C2"/>
    <w:rsid w:val="00566FEC"/>
    <w:rsid w:val="00587745"/>
    <w:rsid w:val="005956AE"/>
    <w:rsid w:val="005C0781"/>
    <w:rsid w:val="005C7B43"/>
    <w:rsid w:val="005D4C0C"/>
    <w:rsid w:val="005D6C0A"/>
    <w:rsid w:val="005D758D"/>
    <w:rsid w:val="005E3FA6"/>
    <w:rsid w:val="005E4434"/>
    <w:rsid w:val="005E4B58"/>
    <w:rsid w:val="005F6583"/>
    <w:rsid w:val="006056E1"/>
    <w:rsid w:val="00611C49"/>
    <w:rsid w:val="00612447"/>
    <w:rsid w:val="00617211"/>
    <w:rsid w:val="0062604E"/>
    <w:rsid w:val="00632E75"/>
    <w:rsid w:val="006379F1"/>
    <w:rsid w:val="00637F01"/>
    <w:rsid w:val="00643BB4"/>
    <w:rsid w:val="00647F5C"/>
    <w:rsid w:val="0065158B"/>
    <w:rsid w:val="00657EE1"/>
    <w:rsid w:val="00665D48"/>
    <w:rsid w:val="006740AC"/>
    <w:rsid w:val="00675553"/>
    <w:rsid w:val="00676EF3"/>
    <w:rsid w:val="006770FA"/>
    <w:rsid w:val="006771DA"/>
    <w:rsid w:val="0068107B"/>
    <w:rsid w:val="00683BC8"/>
    <w:rsid w:val="00693278"/>
    <w:rsid w:val="006A2989"/>
    <w:rsid w:val="006A38C0"/>
    <w:rsid w:val="006A4E9B"/>
    <w:rsid w:val="006A7619"/>
    <w:rsid w:val="006C5D0D"/>
    <w:rsid w:val="006D1AB2"/>
    <w:rsid w:val="006F2F4D"/>
    <w:rsid w:val="00702CAC"/>
    <w:rsid w:val="0070433A"/>
    <w:rsid w:val="007236F7"/>
    <w:rsid w:val="0073049B"/>
    <w:rsid w:val="007340DD"/>
    <w:rsid w:val="00734408"/>
    <w:rsid w:val="007426E9"/>
    <w:rsid w:val="00745DAA"/>
    <w:rsid w:val="00750C0F"/>
    <w:rsid w:val="007641E5"/>
    <w:rsid w:val="00765521"/>
    <w:rsid w:val="00774F66"/>
    <w:rsid w:val="007751F8"/>
    <w:rsid w:val="00776AE0"/>
    <w:rsid w:val="007779F6"/>
    <w:rsid w:val="00780878"/>
    <w:rsid w:val="00781A5F"/>
    <w:rsid w:val="00793EA3"/>
    <w:rsid w:val="007A285E"/>
    <w:rsid w:val="007A7569"/>
    <w:rsid w:val="007B027B"/>
    <w:rsid w:val="007B481F"/>
    <w:rsid w:val="007B647A"/>
    <w:rsid w:val="007C3F9B"/>
    <w:rsid w:val="007C5D8F"/>
    <w:rsid w:val="007C77A5"/>
    <w:rsid w:val="007D143A"/>
    <w:rsid w:val="007D4ACF"/>
    <w:rsid w:val="007D5AAE"/>
    <w:rsid w:val="007D5AF9"/>
    <w:rsid w:val="007D5DAD"/>
    <w:rsid w:val="007E71D6"/>
    <w:rsid w:val="007E765D"/>
    <w:rsid w:val="007F3B0F"/>
    <w:rsid w:val="007F3CEF"/>
    <w:rsid w:val="007F784F"/>
    <w:rsid w:val="00802198"/>
    <w:rsid w:val="008038CE"/>
    <w:rsid w:val="00803B19"/>
    <w:rsid w:val="008051C6"/>
    <w:rsid w:val="00817167"/>
    <w:rsid w:val="00820ADC"/>
    <w:rsid w:val="00820BE7"/>
    <w:rsid w:val="00831C13"/>
    <w:rsid w:val="008340A1"/>
    <w:rsid w:val="00835BB8"/>
    <w:rsid w:val="008374F8"/>
    <w:rsid w:val="00843F68"/>
    <w:rsid w:val="0084452E"/>
    <w:rsid w:val="00855EF3"/>
    <w:rsid w:val="008639DD"/>
    <w:rsid w:val="00864E8F"/>
    <w:rsid w:val="00870051"/>
    <w:rsid w:val="00873A08"/>
    <w:rsid w:val="00873DB6"/>
    <w:rsid w:val="00884DF6"/>
    <w:rsid w:val="008855D0"/>
    <w:rsid w:val="00886C2E"/>
    <w:rsid w:val="00895E54"/>
    <w:rsid w:val="008A464F"/>
    <w:rsid w:val="008A5F2E"/>
    <w:rsid w:val="008C0ECA"/>
    <w:rsid w:val="008C21A7"/>
    <w:rsid w:val="008C65B8"/>
    <w:rsid w:val="008D3B8D"/>
    <w:rsid w:val="008D43F4"/>
    <w:rsid w:val="008E1F27"/>
    <w:rsid w:val="008E72AB"/>
    <w:rsid w:val="00901136"/>
    <w:rsid w:val="0090288C"/>
    <w:rsid w:val="0090461A"/>
    <w:rsid w:val="0091027E"/>
    <w:rsid w:val="00921AEC"/>
    <w:rsid w:val="00925E06"/>
    <w:rsid w:val="00927290"/>
    <w:rsid w:val="009349E7"/>
    <w:rsid w:val="00934CD1"/>
    <w:rsid w:val="0094364A"/>
    <w:rsid w:val="00943E9A"/>
    <w:rsid w:val="009468CF"/>
    <w:rsid w:val="00954D9A"/>
    <w:rsid w:val="009603D3"/>
    <w:rsid w:val="00965A3C"/>
    <w:rsid w:val="0098166B"/>
    <w:rsid w:val="009825EF"/>
    <w:rsid w:val="0098478B"/>
    <w:rsid w:val="009861C8"/>
    <w:rsid w:val="009B44D9"/>
    <w:rsid w:val="009C034E"/>
    <w:rsid w:val="009D3675"/>
    <w:rsid w:val="009D498C"/>
    <w:rsid w:val="009D796E"/>
    <w:rsid w:val="00A008BB"/>
    <w:rsid w:val="00A02CC8"/>
    <w:rsid w:val="00A066FE"/>
    <w:rsid w:val="00A10513"/>
    <w:rsid w:val="00A12FDB"/>
    <w:rsid w:val="00A23CA7"/>
    <w:rsid w:val="00A32DBC"/>
    <w:rsid w:val="00A3749C"/>
    <w:rsid w:val="00A43503"/>
    <w:rsid w:val="00A450E9"/>
    <w:rsid w:val="00A46EB4"/>
    <w:rsid w:val="00A57A08"/>
    <w:rsid w:val="00A60290"/>
    <w:rsid w:val="00A64AAA"/>
    <w:rsid w:val="00A65160"/>
    <w:rsid w:val="00A7082A"/>
    <w:rsid w:val="00A73711"/>
    <w:rsid w:val="00A76277"/>
    <w:rsid w:val="00A76F0B"/>
    <w:rsid w:val="00A836F6"/>
    <w:rsid w:val="00A83A11"/>
    <w:rsid w:val="00A869F3"/>
    <w:rsid w:val="00A90218"/>
    <w:rsid w:val="00AA3C62"/>
    <w:rsid w:val="00AA4959"/>
    <w:rsid w:val="00AC70A4"/>
    <w:rsid w:val="00AD14C1"/>
    <w:rsid w:val="00AD3CD3"/>
    <w:rsid w:val="00AD6EA4"/>
    <w:rsid w:val="00AD74E5"/>
    <w:rsid w:val="00AE0E4D"/>
    <w:rsid w:val="00AE367D"/>
    <w:rsid w:val="00AF15F0"/>
    <w:rsid w:val="00AF6A23"/>
    <w:rsid w:val="00B06FD1"/>
    <w:rsid w:val="00B128B1"/>
    <w:rsid w:val="00B15033"/>
    <w:rsid w:val="00B30D75"/>
    <w:rsid w:val="00B31D9E"/>
    <w:rsid w:val="00B36263"/>
    <w:rsid w:val="00B379B8"/>
    <w:rsid w:val="00B40F15"/>
    <w:rsid w:val="00B42C96"/>
    <w:rsid w:val="00B5633A"/>
    <w:rsid w:val="00B619EC"/>
    <w:rsid w:val="00B63D8A"/>
    <w:rsid w:val="00B7664E"/>
    <w:rsid w:val="00B77F39"/>
    <w:rsid w:val="00B82572"/>
    <w:rsid w:val="00B83264"/>
    <w:rsid w:val="00B83F9A"/>
    <w:rsid w:val="00BA7613"/>
    <w:rsid w:val="00BB3A04"/>
    <w:rsid w:val="00BB5D7C"/>
    <w:rsid w:val="00BE1D88"/>
    <w:rsid w:val="00BE3B0F"/>
    <w:rsid w:val="00BF2A3E"/>
    <w:rsid w:val="00BF54BF"/>
    <w:rsid w:val="00C00F35"/>
    <w:rsid w:val="00C028C5"/>
    <w:rsid w:val="00C07DB1"/>
    <w:rsid w:val="00C14761"/>
    <w:rsid w:val="00C14A4D"/>
    <w:rsid w:val="00C14B88"/>
    <w:rsid w:val="00C15B78"/>
    <w:rsid w:val="00C21C0E"/>
    <w:rsid w:val="00C229A6"/>
    <w:rsid w:val="00C312CC"/>
    <w:rsid w:val="00C3266C"/>
    <w:rsid w:val="00C336CE"/>
    <w:rsid w:val="00C352B8"/>
    <w:rsid w:val="00C44BF8"/>
    <w:rsid w:val="00C53848"/>
    <w:rsid w:val="00C71078"/>
    <w:rsid w:val="00C72DAC"/>
    <w:rsid w:val="00C74253"/>
    <w:rsid w:val="00C859AD"/>
    <w:rsid w:val="00CA3F74"/>
    <w:rsid w:val="00CB14D2"/>
    <w:rsid w:val="00CB2A0A"/>
    <w:rsid w:val="00CB6670"/>
    <w:rsid w:val="00CB761D"/>
    <w:rsid w:val="00CC38AC"/>
    <w:rsid w:val="00CE3183"/>
    <w:rsid w:val="00CE6774"/>
    <w:rsid w:val="00CF14ED"/>
    <w:rsid w:val="00CF7082"/>
    <w:rsid w:val="00D06A12"/>
    <w:rsid w:val="00D24B3F"/>
    <w:rsid w:val="00D24E44"/>
    <w:rsid w:val="00D2603E"/>
    <w:rsid w:val="00D43E87"/>
    <w:rsid w:val="00D45A94"/>
    <w:rsid w:val="00D47D49"/>
    <w:rsid w:val="00D55FE1"/>
    <w:rsid w:val="00D56B4C"/>
    <w:rsid w:val="00D66359"/>
    <w:rsid w:val="00D73FCD"/>
    <w:rsid w:val="00D831DB"/>
    <w:rsid w:val="00D83C32"/>
    <w:rsid w:val="00D937F0"/>
    <w:rsid w:val="00D962E6"/>
    <w:rsid w:val="00DA74DA"/>
    <w:rsid w:val="00DB002D"/>
    <w:rsid w:val="00DC1F0D"/>
    <w:rsid w:val="00DC22FD"/>
    <w:rsid w:val="00DC5CD1"/>
    <w:rsid w:val="00DE0621"/>
    <w:rsid w:val="00DE4309"/>
    <w:rsid w:val="00DE7B29"/>
    <w:rsid w:val="00DF5AF8"/>
    <w:rsid w:val="00DF638A"/>
    <w:rsid w:val="00DF7390"/>
    <w:rsid w:val="00E0036C"/>
    <w:rsid w:val="00E00D3E"/>
    <w:rsid w:val="00E01BCF"/>
    <w:rsid w:val="00E06C74"/>
    <w:rsid w:val="00E0744A"/>
    <w:rsid w:val="00E07C89"/>
    <w:rsid w:val="00E12A88"/>
    <w:rsid w:val="00E44695"/>
    <w:rsid w:val="00E45737"/>
    <w:rsid w:val="00E4634B"/>
    <w:rsid w:val="00E50746"/>
    <w:rsid w:val="00E650FA"/>
    <w:rsid w:val="00E71FF7"/>
    <w:rsid w:val="00E77C2A"/>
    <w:rsid w:val="00E82409"/>
    <w:rsid w:val="00E90B3C"/>
    <w:rsid w:val="00EA1735"/>
    <w:rsid w:val="00EA6048"/>
    <w:rsid w:val="00EB0D93"/>
    <w:rsid w:val="00EB240D"/>
    <w:rsid w:val="00EC1FBD"/>
    <w:rsid w:val="00EC77A2"/>
    <w:rsid w:val="00F11059"/>
    <w:rsid w:val="00F139F1"/>
    <w:rsid w:val="00F16C00"/>
    <w:rsid w:val="00F30933"/>
    <w:rsid w:val="00F34A7A"/>
    <w:rsid w:val="00F538FD"/>
    <w:rsid w:val="00F7230A"/>
    <w:rsid w:val="00F724A6"/>
    <w:rsid w:val="00F829FC"/>
    <w:rsid w:val="00F84072"/>
    <w:rsid w:val="00F90676"/>
    <w:rsid w:val="00F92024"/>
    <w:rsid w:val="00FA1182"/>
    <w:rsid w:val="00FA4418"/>
    <w:rsid w:val="00FA5CDA"/>
    <w:rsid w:val="00FA6C0E"/>
    <w:rsid w:val="00FB21C3"/>
    <w:rsid w:val="00FC34D9"/>
    <w:rsid w:val="00FC4B85"/>
    <w:rsid w:val="00FC6586"/>
    <w:rsid w:val="00FD0DF0"/>
    <w:rsid w:val="00FE27EF"/>
    <w:rsid w:val="00FE62B9"/>
    <w:rsid w:val="00FF236C"/>
    <w:rsid w:val="00FF2406"/>
    <w:rsid w:val="00FF28A7"/>
    <w:rsid w:val="01A3073B"/>
    <w:rsid w:val="01F42D45"/>
    <w:rsid w:val="057C19CF"/>
    <w:rsid w:val="05EF3F4F"/>
    <w:rsid w:val="069B7C33"/>
    <w:rsid w:val="07A56FBB"/>
    <w:rsid w:val="08AE1E9F"/>
    <w:rsid w:val="0AB45767"/>
    <w:rsid w:val="0AD83203"/>
    <w:rsid w:val="0B380146"/>
    <w:rsid w:val="0B8C3FEE"/>
    <w:rsid w:val="0D6B035F"/>
    <w:rsid w:val="0E230C39"/>
    <w:rsid w:val="0E7771D7"/>
    <w:rsid w:val="0F0D5446"/>
    <w:rsid w:val="0FCD3553"/>
    <w:rsid w:val="113E5D8A"/>
    <w:rsid w:val="11651569"/>
    <w:rsid w:val="138C102F"/>
    <w:rsid w:val="14BF779F"/>
    <w:rsid w:val="15121A08"/>
    <w:rsid w:val="16027CCE"/>
    <w:rsid w:val="1635775C"/>
    <w:rsid w:val="16946B78"/>
    <w:rsid w:val="16D57191"/>
    <w:rsid w:val="17FD24FB"/>
    <w:rsid w:val="1881137E"/>
    <w:rsid w:val="18E92A80"/>
    <w:rsid w:val="195F2D42"/>
    <w:rsid w:val="19AD7F51"/>
    <w:rsid w:val="1AF24DA6"/>
    <w:rsid w:val="1DC87107"/>
    <w:rsid w:val="1E470974"/>
    <w:rsid w:val="1F3031B6"/>
    <w:rsid w:val="1F3077CA"/>
    <w:rsid w:val="1FE04BDC"/>
    <w:rsid w:val="2014177F"/>
    <w:rsid w:val="21B93937"/>
    <w:rsid w:val="21C978F2"/>
    <w:rsid w:val="21ED19FA"/>
    <w:rsid w:val="225673D8"/>
    <w:rsid w:val="228850B7"/>
    <w:rsid w:val="22EC1AEA"/>
    <w:rsid w:val="23571659"/>
    <w:rsid w:val="26A1499A"/>
    <w:rsid w:val="2815563F"/>
    <w:rsid w:val="28537F15"/>
    <w:rsid w:val="28A349F9"/>
    <w:rsid w:val="297445E7"/>
    <w:rsid w:val="2B631035"/>
    <w:rsid w:val="2B7D01B8"/>
    <w:rsid w:val="2B905AAE"/>
    <w:rsid w:val="2CFE0255"/>
    <w:rsid w:val="2F155F25"/>
    <w:rsid w:val="30313232"/>
    <w:rsid w:val="305B205D"/>
    <w:rsid w:val="30A05CC2"/>
    <w:rsid w:val="30B67293"/>
    <w:rsid w:val="3163566D"/>
    <w:rsid w:val="31E0281A"/>
    <w:rsid w:val="31F938DC"/>
    <w:rsid w:val="33490893"/>
    <w:rsid w:val="33770F5C"/>
    <w:rsid w:val="33FE02F2"/>
    <w:rsid w:val="34DF325D"/>
    <w:rsid w:val="350B5E00"/>
    <w:rsid w:val="359A7184"/>
    <w:rsid w:val="37433E45"/>
    <w:rsid w:val="3B9B3980"/>
    <w:rsid w:val="3D960B78"/>
    <w:rsid w:val="3EDC080D"/>
    <w:rsid w:val="40B90E06"/>
    <w:rsid w:val="41230975"/>
    <w:rsid w:val="41ED74F3"/>
    <w:rsid w:val="42621029"/>
    <w:rsid w:val="42E91FDB"/>
    <w:rsid w:val="44110F59"/>
    <w:rsid w:val="44C47D79"/>
    <w:rsid w:val="45101210"/>
    <w:rsid w:val="461D1E37"/>
    <w:rsid w:val="46FF32EA"/>
    <w:rsid w:val="497F0713"/>
    <w:rsid w:val="49D56585"/>
    <w:rsid w:val="4AE20F59"/>
    <w:rsid w:val="4AF8077D"/>
    <w:rsid w:val="4B8D7117"/>
    <w:rsid w:val="4C800A2A"/>
    <w:rsid w:val="4EA8070C"/>
    <w:rsid w:val="4EF43951"/>
    <w:rsid w:val="4F2A2ECF"/>
    <w:rsid w:val="4F5166AD"/>
    <w:rsid w:val="50546455"/>
    <w:rsid w:val="50E615A0"/>
    <w:rsid w:val="50EA500B"/>
    <w:rsid w:val="515D758B"/>
    <w:rsid w:val="51D3784E"/>
    <w:rsid w:val="52120376"/>
    <w:rsid w:val="52A35472"/>
    <w:rsid w:val="52E44E05"/>
    <w:rsid w:val="530B3887"/>
    <w:rsid w:val="542B571F"/>
    <w:rsid w:val="54972DB4"/>
    <w:rsid w:val="55A25EB5"/>
    <w:rsid w:val="55AF2D33"/>
    <w:rsid w:val="55CC4CE0"/>
    <w:rsid w:val="562E14F6"/>
    <w:rsid w:val="56815ACA"/>
    <w:rsid w:val="57DB745C"/>
    <w:rsid w:val="58EF7663"/>
    <w:rsid w:val="59570D64"/>
    <w:rsid w:val="5A5C0D28"/>
    <w:rsid w:val="5A5D970B"/>
    <w:rsid w:val="5C433822"/>
    <w:rsid w:val="5C71448E"/>
    <w:rsid w:val="5E6D4B86"/>
    <w:rsid w:val="5E9E38C2"/>
    <w:rsid w:val="5FE1582B"/>
    <w:rsid w:val="61073070"/>
    <w:rsid w:val="61161505"/>
    <w:rsid w:val="614B5652"/>
    <w:rsid w:val="66212E26"/>
    <w:rsid w:val="67DA21B5"/>
    <w:rsid w:val="68040309"/>
    <w:rsid w:val="68297D70"/>
    <w:rsid w:val="682E5386"/>
    <w:rsid w:val="68F22857"/>
    <w:rsid w:val="690427FC"/>
    <w:rsid w:val="69C77840"/>
    <w:rsid w:val="6A2627B9"/>
    <w:rsid w:val="6AA47B81"/>
    <w:rsid w:val="6ADF0BB9"/>
    <w:rsid w:val="6AEE66FC"/>
    <w:rsid w:val="6B113469"/>
    <w:rsid w:val="6C2E3BA6"/>
    <w:rsid w:val="6E7F4B8D"/>
    <w:rsid w:val="6F6E74EB"/>
    <w:rsid w:val="6F8A5598"/>
    <w:rsid w:val="6FD42CB7"/>
    <w:rsid w:val="6FFE6B54"/>
    <w:rsid w:val="708D657F"/>
    <w:rsid w:val="71E60A7F"/>
    <w:rsid w:val="71ED62B2"/>
    <w:rsid w:val="72744FEC"/>
    <w:rsid w:val="74FB2A94"/>
    <w:rsid w:val="75B74C0D"/>
    <w:rsid w:val="762F0C47"/>
    <w:rsid w:val="78DE0702"/>
    <w:rsid w:val="794C7D62"/>
    <w:rsid w:val="7A992B33"/>
    <w:rsid w:val="7B5829EE"/>
    <w:rsid w:val="7B6018A2"/>
    <w:rsid w:val="7D2863F0"/>
    <w:rsid w:val="7DE652B4"/>
    <w:rsid w:val="7E553215"/>
    <w:rsid w:val="7EDC3936"/>
    <w:rsid w:val="B7FFCC77"/>
    <w:rsid w:val="D6624981"/>
    <w:rsid w:val="D6FB5039"/>
    <w:rsid w:val="DF0FDAA6"/>
    <w:rsid w:val="FEFFD085"/>
    <w:rsid w:val="FF77B45E"/>
    <w:rsid w:val="FFD96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宋体"/>
    </w:rPr>
  </w:style>
  <w:style w:type="character" w:styleId="11">
    <w:name w:val="Strong"/>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日期 字符"/>
    <w:basedOn w:val="10"/>
    <w:link w:val="4"/>
    <w:semiHidden/>
    <w:qFormat/>
    <w:uiPriority w:val="99"/>
  </w:style>
  <w:style w:type="character" w:customStyle="1" w:styleId="14">
    <w:name w:val="未处理的提及1"/>
    <w:basedOn w:val="10"/>
    <w:semiHidden/>
    <w:unhideWhenUsed/>
    <w:qFormat/>
    <w:uiPriority w:val="99"/>
    <w:rPr>
      <w:color w:val="605E5C"/>
      <w:shd w:val="clear" w:color="auto" w:fill="E1DFDD"/>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框文本 字符"/>
    <w:basedOn w:val="10"/>
    <w:link w:val="5"/>
    <w:semiHidden/>
    <w:qFormat/>
    <w:uiPriority w:val="99"/>
    <w:rPr>
      <w:sz w:val="18"/>
      <w:szCs w:val="18"/>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Table Text"/>
    <w:basedOn w:val="1"/>
    <w:semiHidden/>
    <w:qFormat/>
    <w:uiPriority w:val="0"/>
    <w:rPr>
      <w:rFonts w:ascii="仿宋" w:hAnsi="仿宋" w:eastAsia="仿宋" w:cs="仿宋"/>
      <w:sz w:val="24"/>
      <w:szCs w:val="24"/>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4328</Words>
  <Characters>4569</Characters>
  <Lines>145</Lines>
  <Paragraphs>166</Paragraphs>
  <TotalTime>16</TotalTime>
  <ScaleCrop>false</ScaleCrop>
  <LinksUpToDate>false</LinksUpToDate>
  <CharactersWithSpaces>4683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2023-03-16T09:59:00Z</dcterms:created>
  <dc:creator>高 福云</dc:creator>
  <cp:lastModifiedBy>余丰</cp:lastModifiedBy>
  <cp:lastPrinted>2026-04-20T05:26:15Z</cp:lastPrinted>
  <dcterms:modified xsi:type="dcterms:W3CDTF">2026-04-20T05:29:25Z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83D6CE871ED74C21AB70493DF64339F8_13</vt:lpwstr>
  </property>
  <property fmtid="{D5CDD505-2E9C-101B-9397-08002B2CF9AE}" pid="4" name="KSOTemplateDocerSaveRecord">
    <vt:lpwstr>eyJoZGlkIjoiODBjMDQ3NjlmMTVjZWJmNWVlN2M0ODMyMDNiOGM5MjYiLCJ1c2VySWQiOiI1MDU3NDA1MzkifQ==</vt:lpwstr>
  </property>
</Properties>
</file>